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29" w:rsidRDefault="007F469E" w:rsidP="00AD3180">
      <w:pPr>
        <w:pStyle w:val="Titolo1"/>
        <w:jc w:val="center"/>
      </w:pPr>
      <w:bookmarkStart w:id="0" w:name="_dtoujqah5bao" w:colFirst="0" w:colLast="0"/>
      <w:bookmarkEnd w:id="0"/>
      <w:r>
        <w:t xml:space="preserve">COMUNE DI </w:t>
      </w:r>
      <w:r w:rsidR="00AD3180">
        <w:t>MONTE GIBERTO</w:t>
      </w:r>
    </w:p>
    <w:p w:rsidR="00885929" w:rsidRDefault="007F469E" w:rsidP="00AD3180">
      <w:pPr>
        <w:spacing w:after="200" w:line="240" w:lineRule="auto"/>
        <w:jc w:val="center"/>
        <w:rPr>
          <w:rFonts w:ascii="Titillium Web" w:eastAsia="Titillium Web" w:hAnsi="Titillium Web" w:cs="Titillium Web"/>
          <w:b/>
          <w:bCs/>
        </w:rPr>
      </w:pPr>
      <w:bookmarkStart w:id="1" w:name="_7ydsrz6w4bmt" w:colFirst="0" w:colLast="0"/>
      <w:bookmarkEnd w:id="1"/>
      <w:r>
        <w:rPr>
          <w:rFonts w:ascii="Titillium Web" w:eastAsia="Titillium Web" w:hAnsi="Titillium Web" w:cs="Titillium Web"/>
          <w:b/>
          <w:bCs/>
        </w:rPr>
        <w:t xml:space="preserve">(PROVINCIA DI </w:t>
      </w:r>
      <w:r w:rsidR="00AD3180">
        <w:rPr>
          <w:rFonts w:ascii="Titillium Web" w:eastAsia="Titillium Web" w:hAnsi="Titillium Web" w:cs="Titillium Web"/>
          <w:b/>
          <w:bCs/>
        </w:rPr>
        <w:t>FERMO</w:t>
      </w:r>
      <w:r>
        <w:rPr>
          <w:rFonts w:ascii="Titillium Web" w:eastAsia="Titillium Web" w:hAnsi="Titillium Web" w:cs="Titillium Web"/>
          <w:b/>
          <w:bCs/>
        </w:rPr>
        <w:t>)</w:t>
      </w:r>
    </w:p>
    <w:p w:rsidR="00885929" w:rsidRDefault="00885929">
      <w:pPr>
        <w:spacing w:after="200" w:line="240" w:lineRule="auto"/>
        <w:rPr>
          <w:rFonts w:ascii="Titillium Web" w:eastAsia="Titillium Web" w:hAnsi="Titillium Web" w:cs="Titillium Web"/>
          <w:b/>
          <w:bCs/>
        </w:rPr>
      </w:pPr>
      <w:bookmarkStart w:id="2" w:name="_teg0g91aw7tq" w:colFirst="0" w:colLast="0"/>
      <w:bookmarkEnd w:id="2"/>
    </w:p>
    <w:p w:rsidR="00885929" w:rsidRDefault="00885929">
      <w:pPr>
        <w:spacing w:after="200" w:line="240" w:lineRule="auto"/>
        <w:rPr>
          <w:rFonts w:ascii="Titillium Web" w:eastAsia="Titillium Web" w:hAnsi="Titillium Web" w:cs="Titillium Web"/>
          <w:b/>
          <w:bCs/>
        </w:rPr>
      </w:pPr>
      <w:bookmarkStart w:id="3" w:name="_lr6jk8ge9mxn" w:colFirst="0" w:colLast="0"/>
      <w:bookmarkEnd w:id="3"/>
    </w:p>
    <w:p w:rsidR="00885929" w:rsidRDefault="007F469E">
      <w:pPr>
        <w:spacing w:after="200" w:line="240" w:lineRule="auto"/>
        <w:jc w:val="center"/>
        <w:rPr>
          <w:rFonts w:ascii="Titillium Web" w:eastAsia="Titillium Web" w:hAnsi="Titillium Web" w:cs="Titillium Web"/>
          <w:b/>
          <w:bCs/>
          <w:sz w:val="28"/>
          <w:szCs w:val="28"/>
          <w:u w:val="single"/>
        </w:rPr>
      </w:pPr>
      <w:bookmarkStart w:id="4" w:name="_9iwcxcqrm569" w:colFirst="0" w:colLast="0"/>
      <w:bookmarkEnd w:id="4"/>
      <w:r>
        <w:rPr>
          <w:rFonts w:ascii="Titillium Web" w:eastAsia="Titillium Web" w:hAnsi="Titillium Web" w:cs="Titillium Web"/>
          <w:b/>
          <w:bCs/>
          <w:sz w:val="28"/>
          <w:szCs w:val="28"/>
          <w:u w:val="single"/>
        </w:rPr>
        <w:t>PIANO SUI RISCHI CORRUTTIVI E SULLA TRASPARENZA</w:t>
      </w:r>
    </w:p>
    <w:p w:rsidR="00885929" w:rsidRDefault="007F469E">
      <w:pPr>
        <w:spacing w:after="200" w:line="240" w:lineRule="auto"/>
        <w:jc w:val="center"/>
        <w:rPr>
          <w:rFonts w:ascii="Titillium Web" w:eastAsia="Titillium Web" w:hAnsi="Titillium Web" w:cs="Titillium Web"/>
          <w:b/>
          <w:bCs/>
          <w:i/>
          <w:iCs/>
          <w:color w:val="FF0000"/>
        </w:rPr>
      </w:pPr>
      <w:bookmarkStart w:id="5" w:name="_regynnhznu0c" w:colFirst="0" w:colLast="0"/>
      <w:bookmarkEnd w:id="5"/>
      <w:r>
        <w:rPr>
          <w:rFonts w:ascii="Titillium Web" w:eastAsia="Titillium Web" w:hAnsi="Titillium Web" w:cs="Titillium Web"/>
          <w:b/>
          <w:bCs/>
          <w:i/>
          <w:iCs/>
          <w:color w:val="FF0000"/>
        </w:rPr>
        <w:t>sotto-sezione 2.3 del PIAO 2026/2028</w:t>
      </w:r>
    </w:p>
    <w:p w:rsidR="00885929" w:rsidRDefault="00885929">
      <w:pPr>
        <w:spacing w:after="200" w:line="240" w:lineRule="auto"/>
        <w:rPr>
          <w:rFonts w:ascii="Titillium Web" w:eastAsia="Titillium Web" w:hAnsi="Titillium Web" w:cs="Titillium Web"/>
          <w:b/>
          <w:bCs/>
        </w:rPr>
      </w:pPr>
      <w:bookmarkStart w:id="6" w:name="_pisks2o7ohaq" w:colFirst="0" w:colLast="0"/>
      <w:bookmarkEnd w:id="6"/>
    </w:p>
    <w:p w:rsidR="00885929" w:rsidRDefault="00885929">
      <w:pPr>
        <w:spacing w:after="200" w:line="240" w:lineRule="auto"/>
        <w:rPr>
          <w:rFonts w:ascii="Titillium Web" w:eastAsia="Titillium Web" w:hAnsi="Titillium Web" w:cs="Titillium Web"/>
          <w:b/>
          <w:bCs/>
        </w:rPr>
      </w:pPr>
      <w:bookmarkStart w:id="7" w:name="_sufdp5xd0grp" w:colFirst="0" w:colLast="0"/>
      <w:bookmarkEnd w:id="7"/>
    </w:p>
    <w:p w:rsidR="00885929" w:rsidRDefault="00885929">
      <w:pPr>
        <w:spacing w:after="200" w:line="240" w:lineRule="auto"/>
        <w:rPr>
          <w:rFonts w:ascii="Titillium Web" w:eastAsia="Titillium Web" w:hAnsi="Titillium Web" w:cs="Titillium Web"/>
          <w:b/>
          <w:bCs/>
        </w:rPr>
      </w:pPr>
      <w:bookmarkStart w:id="8" w:name="_x7p63q6kut6p" w:colFirst="0" w:colLast="0"/>
      <w:bookmarkEnd w:id="8"/>
    </w:p>
    <w:p w:rsidR="00885929" w:rsidRDefault="007F469E">
      <w:pPr>
        <w:spacing w:after="200" w:line="240" w:lineRule="auto"/>
        <w:rPr>
          <w:rFonts w:ascii="Titillium Web" w:eastAsia="Titillium Web" w:hAnsi="Titillium Web" w:cs="Titillium Web"/>
          <w:b/>
          <w:bCs/>
        </w:rPr>
      </w:pPr>
      <w:bookmarkStart w:id="9" w:name="_vdhv3t93z1mb" w:colFirst="0" w:colLast="0"/>
      <w:bookmarkEnd w:id="9"/>
      <w:r>
        <w:rPr>
          <w:rFonts w:ascii="Titillium Web" w:eastAsia="Titillium Web" w:hAnsi="Titillium Web" w:cs="Titillium Web"/>
          <w:b/>
          <w:bCs/>
        </w:rPr>
        <w:t>Con allegate 3 tabelle</w:t>
      </w:r>
    </w:p>
    <w:p w:rsidR="00885929" w:rsidRDefault="007F469E">
      <w:pPr>
        <w:numPr>
          <w:ilvl w:val="0"/>
          <w:numId w:val="16"/>
        </w:numPr>
        <w:spacing w:after="200" w:line="240" w:lineRule="auto"/>
        <w:rPr>
          <w:rFonts w:ascii="Titillium Web" w:eastAsia="Titillium Web" w:hAnsi="Titillium Web" w:cs="Titillium Web"/>
          <w:b/>
          <w:bCs/>
        </w:rPr>
      </w:pPr>
      <w:bookmarkStart w:id="10" w:name="_mfk0qvp0jegc" w:colFirst="0" w:colLast="0"/>
      <w:bookmarkEnd w:id="10"/>
      <w:r>
        <w:rPr>
          <w:rFonts w:ascii="Titillium Web" w:eastAsia="Titillium Web" w:hAnsi="Titillium Web" w:cs="Titillium Web"/>
          <w:b/>
          <w:bCs/>
        </w:rPr>
        <w:t>TAB A - MAPPATURA DEI PROCESSI E CATALOGO DEI RISCHI</w:t>
      </w:r>
    </w:p>
    <w:p w:rsidR="00885929" w:rsidRDefault="007F469E">
      <w:pPr>
        <w:numPr>
          <w:ilvl w:val="0"/>
          <w:numId w:val="16"/>
        </w:numPr>
        <w:spacing w:after="200" w:line="240" w:lineRule="auto"/>
        <w:rPr>
          <w:rFonts w:ascii="Titillium Web" w:eastAsia="Titillium Web" w:hAnsi="Titillium Web" w:cs="Titillium Web"/>
          <w:b/>
          <w:bCs/>
        </w:rPr>
      </w:pPr>
      <w:bookmarkStart w:id="11" w:name="_uwf4fgd0w1qv" w:colFirst="0" w:colLast="0"/>
      <w:bookmarkEnd w:id="11"/>
      <w:r>
        <w:rPr>
          <w:rFonts w:ascii="Titillium Web" w:eastAsia="Titillium Web" w:hAnsi="Titillium Web" w:cs="Titillium Web"/>
          <w:b/>
          <w:bCs/>
        </w:rPr>
        <w:t>TAB B - ANALISI DEI RISCHI DEI PROCESSI</w:t>
      </w:r>
    </w:p>
    <w:p w:rsidR="00885929" w:rsidRDefault="007F469E">
      <w:pPr>
        <w:numPr>
          <w:ilvl w:val="0"/>
          <w:numId w:val="16"/>
        </w:numPr>
        <w:spacing w:after="200" w:line="240" w:lineRule="auto"/>
        <w:rPr>
          <w:rFonts w:ascii="Titillium Web" w:eastAsia="Titillium Web" w:hAnsi="Titillium Web" w:cs="Titillium Web"/>
          <w:b/>
          <w:bCs/>
        </w:rPr>
      </w:pPr>
      <w:bookmarkStart w:id="12" w:name="_nxg2cw8dpgjf" w:colFirst="0" w:colLast="0"/>
      <w:bookmarkEnd w:id="12"/>
      <w:r>
        <w:rPr>
          <w:rFonts w:ascii="Titillium Web" w:eastAsia="Titillium Web" w:hAnsi="Titillium Web" w:cs="Titillium Web"/>
          <w:b/>
          <w:bCs/>
        </w:rPr>
        <w:t>TAB C - OBBLIGHI DI PUBBLICAZIONE IN AMMINISTRAZIONE TRASPARENTE</w:t>
      </w:r>
    </w:p>
    <w:p w:rsidR="00885929" w:rsidRDefault="00885929">
      <w:pPr>
        <w:spacing w:after="200" w:line="240" w:lineRule="auto"/>
        <w:jc w:val="both"/>
        <w:rPr>
          <w:rFonts w:ascii="Titillium Web" w:eastAsia="Titillium Web" w:hAnsi="Titillium Web" w:cs="Titillium Web"/>
        </w:rPr>
      </w:pPr>
    </w:p>
    <w:p w:rsidR="00885929" w:rsidRDefault="00885929">
      <w:pPr>
        <w:spacing w:after="200" w:line="240" w:lineRule="auto"/>
        <w:jc w:val="both"/>
        <w:rPr>
          <w:rFonts w:ascii="Titillium Web" w:eastAsia="Titillium Web" w:hAnsi="Titillium Web" w:cs="Titillium Web"/>
        </w:rPr>
      </w:pPr>
    </w:p>
    <w:p w:rsidR="00885929" w:rsidRDefault="007F469E">
      <w:pPr>
        <w:spacing w:after="200" w:line="240" w:lineRule="auto"/>
        <w:jc w:val="both"/>
        <w:rPr>
          <w:rFonts w:ascii="Titillium Web" w:eastAsia="Titillium Web" w:hAnsi="Titillium Web" w:cs="Titillium Web"/>
        </w:rPr>
      </w:pPr>
      <w:r>
        <w:br w:type="page"/>
      </w:r>
    </w:p>
    <w:p w:rsidR="00885929" w:rsidRDefault="007F469E">
      <w:pPr>
        <w:pStyle w:val="Titolo4"/>
      </w:pPr>
      <w:bookmarkStart w:id="13" w:name="_c98udpbfb4n4" w:colFirst="0" w:colLast="0"/>
      <w:bookmarkEnd w:id="13"/>
      <w:r>
        <w:lastRenderedPageBreak/>
        <w:t xml:space="preserve">1. QUADRO STRATEGICO E FINALITÀ (PNA ANAC 2025 - </w:t>
      </w:r>
      <w:proofErr w:type="spellStart"/>
      <w:r>
        <w:t>delib</w:t>
      </w:r>
      <w:proofErr w:type="spellEnd"/>
      <w:r>
        <w:t xml:space="preserve"> 19/2026)</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Il presente Piano recepisce la strategia nazionale </w:t>
      </w:r>
      <w:r>
        <w:rPr>
          <w:rFonts w:ascii="Titillium Web" w:eastAsia="Titillium Web" w:hAnsi="Titillium Web" w:cs="Titillium Web"/>
          <w:i/>
          <w:iCs/>
          <w:u w:val="single"/>
        </w:rPr>
        <w:t>"meno carta e più sistema"</w:t>
      </w:r>
      <w:r>
        <w:rPr>
          <w:rFonts w:ascii="Titillium Web" w:eastAsia="Titillium Web" w:hAnsi="Titillium Web" w:cs="Titillium Web"/>
        </w:rPr>
        <w:t xml:space="preserve"> introdotta dal </w:t>
      </w:r>
      <w:r>
        <w:rPr>
          <w:rFonts w:ascii="Titillium Web" w:eastAsia="Titillium Web" w:hAnsi="Titillium Web" w:cs="Titillium Web"/>
          <w:b/>
          <w:bCs/>
        </w:rPr>
        <w:t>PNA 2025 approvato definitivamente dall’ANAC con la Delibera n. 19 del 28.01.2026</w:t>
      </w:r>
      <w:r>
        <w:rPr>
          <w:rFonts w:ascii="Titillium Web" w:eastAsia="Titillium Web" w:hAnsi="Titillium Web" w:cs="Titillium Web"/>
        </w:rPr>
        <w:t>.</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L'obiettivo è superare gli adempimenti formali per trasformare la prevenzione della corruzione in una </w:t>
      </w:r>
      <w:r>
        <w:rPr>
          <w:rFonts w:ascii="Titillium Web" w:eastAsia="Titillium Web" w:hAnsi="Titillium Web" w:cs="Titillium Web"/>
          <w:u w:val="single"/>
        </w:rPr>
        <w:t xml:space="preserve">leva di </w:t>
      </w:r>
      <w:r>
        <w:rPr>
          <w:rFonts w:ascii="Titillium Web" w:eastAsia="Titillium Web" w:hAnsi="Titillium Web" w:cs="Titillium Web"/>
          <w:i/>
          <w:iCs/>
          <w:u w:val="single"/>
        </w:rPr>
        <w:t>Valore Pubblico (VP)</w:t>
      </w:r>
      <w:r>
        <w:rPr>
          <w:rFonts w:ascii="Titillium Web" w:eastAsia="Titillium Web" w:hAnsi="Titillium Web" w:cs="Titillium Web"/>
          <w:u w:val="single"/>
        </w:rPr>
        <w:t>,</w:t>
      </w:r>
      <w:r>
        <w:rPr>
          <w:rFonts w:ascii="Titillium Web" w:eastAsia="Titillium Web" w:hAnsi="Titillium Web" w:cs="Titillium Web"/>
        </w:rPr>
        <w:t xml:space="preserve"> inteso come incremento del benessere sociale ed economico della comunità amministrata </w:t>
      </w:r>
      <w:r w:rsidRPr="00A01577">
        <w:rPr>
          <w:rFonts w:ascii="Titillium Web" w:eastAsia="Titillium Web" w:hAnsi="Titillium Web" w:cs="Titillium Web"/>
        </w:rPr>
        <w:t xml:space="preserve">dal COMUNE DI </w:t>
      </w:r>
      <w:r w:rsidR="00C90484">
        <w:rPr>
          <w:rFonts w:ascii="Titillium Web" w:eastAsia="Titillium Web" w:hAnsi="Titillium Web" w:cs="Titillium Web"/>
        </w:rPr>
        <w:t>Monte Giberto</w:t>
      </w:r>
      <w:r w:rsidRPr="00A01577">
        <w:rPr>
          <w:rFonts w:ascii="Titillium Web" w:eastAsia="Titillium Web" w:hAnsi="Titillium Web" w:cs="Titillium Web"/>
        </w:rPr>
        <w:t>, attraverso un'azione amministrativa imparziale, tempestiva ed efficiente.</w:t>
      </w:r>
      <w:r>
        <w:rPr>
          <w:rFonts w:ascii="Titillium Web" w:eastAsia="Titillium Web" w:hAnsi="Titillium Web" w:cs="Titillium Web"/>
        </w:rPr>
        <w:t xml:space="preserve"> </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In quanto </w:t>
      </w:r>
      <w:r>
        <w:rPr>
          <w:rFonts w:ascii="Titillium Web" w:eastAsia="Titillium Web" w:hAnsi="Titillium Web" w:cs="Titillium Web"/>
          <w:b/>
          <w:bCs/>
        </w:rPr>
        <w:t>amministrazione comunale con meno di 50 dipendenti</w:t>
      </w:r>
      <w:r>
        <w:rPr>
          <w:rFonts w:ascii="Titillium Web" w:eastAsia="Titillium Web" w:hAnsi="Titillium Web" w:cs="Titillium Web"/>
        </w:rPr>
        <w:t xml:space="preserve">, ci si avvale delle </w:t>
      </w:r>
      <w:r>
        <w:rPr>
          <w:rFonts w:ascii="Titillium Web" w:eastAsia="Titillium Web" w:hAnsi="Titillium Web" w:cs="Titillium Web"/>
          <w:b/>
          <w:bCs/>
        </w:rPr>
        <w:t>semplificazioni</w:t>
      </w:r>
      <w:r>
        <w:rPr>
          <w:rFonts w:ascii="Titillium Web" w:eastAsia="Titillium Web" w:hAnsi="Titillium Web" w:cs="Titillium Web"/>
        </w:rPr>
        <w:t xml:space="preserve"> previste: </w:t>
      </w:r>
    </w:p>
    <w:p w:rsidR="00885929" w:rsidRDefault="007F469E">
      <w:pPr>
        <w:numPr>
          <w:ilvl w:val="0"/>
          <w:numId w:val="13"/>
        </w:num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la mappatura è concentrata sulle aree di rischio obbligatorie;</w:t>
      </w:r>
    </w:p>
    <w:p w:rsidR="00885929" w:rsidRDefault="007F469E">
      <w:pPr>
        <w:numPr>
          <w:ilvl w:val="0"/>
          <w:numId w:val="13"/>
        </w:num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in assenza di fatti corruttivi o mutamenti organizzativi, i contenuti saranno confermati per il biennio successivo 2027-28, limitandosi al monitoraggio delle misure.</w:t>
      </w:r>
    </w:p>
    <w:p w:rsidR="00885929" w:rsidRDefault="007F469E">
      <w:pPr>
        <w:keepNext/>
        <w:spacing w:before="120" w:after="200" w:line="240" w:lineRule="auto"/>
        <w:jc w:val="both"/>
        <w:rPr>
          <w:rFonts w:ascii="Titillium Web" w:eastAsia="Titillium Web" w:hAnsi="Titillium Web" w:cs="Titillium Web"/>
          <w:highlight w:val="yellow"/>
        </w:rPr>
      </w:pPr>
      <w:bookmarkStart w:id="14" w:name="_p9dh69qv70sr" w:colFirst="0" w:colLast="0"/>
      <w:bookmarkEnd w:id="14"/>
      <w:r>
        <w:rPr>
          <w:rFonts w:ascii="Titillium Web" w:eastAsia="Titillium Web" w:hAnsi="Titillium Web" w:cs="Titillium Web"/>
        </w:rPr>
        <w:t xml:space="preserve">Considerato che l’ANAC sostiene sia necessario assicurare la più larga condivisione delle misure anticorruzione con gli organi di indirizzo politico e con gli “stakeholders” esterni, l’adozione finale della presente sotto-sezione del PIAO dedicata alle misure di prevenzione della corruzione è stata preventivamente </w:t>
      </w:r>
      <w:r>
        <w:rPr>
          <w:rFonts w:ascii="Titillium Web" w:eastAsia="Titillium Web" w:hAnsi="Titillium Web" w:cs="Titillium Web"/>
          <w:highlight w:val="yellow"/>
        </w:rPr>
        <w:t xml:space="preserve">(in data </w:t>
      </w:r>
      <w:r w:rsidR="00EA0CA4">
        <w:rPr>
          <w:rFonts w:ascii="Titillium Web" w:eastAsia="Titillium Web" w:hAnsi="Titillium Web" w:cs="Titillium Web"/>
          <w:highlight w:val="yellow"/>
        </w:rPr>
        <w:t>xxx</w:t>
      </w:r>
      <w:r>
        <w:rPr>
          <w:rFonts w:ascii="Titillium Web" w:eastAsia="Titillium Web" w:hAnsi="Titillium Web" w:cs="Titillium Web"/>
          <w:highlight w:val="yellow"/>
        </w:rPr>
        <w:t xml:space="preserve"> </w:t>
      </w:r>
      <w:r w:rsidR="00EA0CA4">
        <w:rPr>
          <w:rFonts w:ascii="Titillium Web" w:eastAsia="Titillium Web" w:hAnsi="Titillium Web" w:cs="Titillium Web"/>
          <w:highlight w:val="yellow"/>
        </w:rPr>
        <w:t>marzo</w:t>
      </w:r>
      <w:r>
        <w:rPr>
          <w:rFonts w:ascii="Titillium Web" w:eastAsia="Titillium Web" w:hAnsi="Titillium Web" w:cs="Titillium Web"/>
          <w:highlight w:val="yellow"/>
        </w:rPr>
        <w:t xml:space="preserve"> 2026):</w:t>
      </w:r>
    </w:p>
    <w:p w:rsidR="00885929" w:rsidRDefault="007F469E">
      <w:pPr>
        <w:keepNext/>
        <w:numPr>
          <w:ilvl w:val="0"/>
          <w:numId w:val="7"/>
        </w:numPr>
        <w:spacing w:before="120" w:after="200" w:line="240" w:lineRule="auto"/>
        <w:jc w:val="both"/>
        <w:rPr>
          <w:rFonts w:ascii="Titillium Web" w:eastAsia="Titillium Web" w:hAnsi="Titillium Web" w:cs="Titillium Web"/>
        </w:rPr>
      </w:pPr>
      <w:bookmarkStart w:id="15" w:name="_kp5uw34oqyte" w:colFirst="0" w:colLast="0"/>
      <w:bookmarkEnd w:id="15"/>
      <w:r>
        <w:rPr>
          <w:rFonts w:ascii="Titillium Web" w:eastAsia="Titillium Web" w:hAnsi="Titillium Web" w:cs="Titillium Web"/>
        </w:rPr>
        <w:t>presentata/illustrata alla Giunta comunale in conferenza congiunta con i Responsabili PO/EQ;</w:t>
      </w:r>
    </w:p>
    <w:p w:rsidR="00885929" w:rsidRDefault="007F469E">
      <w:pPr>
        <w:keepNext/>
        <w:numPr>
          <w:ilvl w:val="0"/>
          <w:numId w:val="7"/>
        </w:numPr>
        <w:spacing w:after="200" w:line="240" w:lineRule="auto"/>
        <w:jc w:val="both"/>
        <w:rPr>
          <w:rFonts w:ascii="Titillium Web" w:eastAsia="Titillium Web" w:hAnsi="Titillium Web" w:cs="Titillium Web"/>
        </w:rPr>
      </w:pPr>
      <w:bookmarkStart w:id="16" w:name="_ucka0aksacqy" w:colFirst="0" w:colLast="0"/>
      <w:bookmarkEnd w:id="16"/>
      <w:r>
        <w:rPr>
          <w:rFonts w:ascii="Titillium Web" w:eastAsia="Titillium Web" w:hAnsi="Titillium Web" w:cs="Titillium Web"/>
        </w:rPr>
        <w:t>pubblicata sul sito web comunale, richiedendo eventuali contributi di “stakeholders” esterni;</w:t>
      </w:r>
    </w:p>
    <w:p w:rsidR="00885929" w:rsidRDefault="00885929">
      <w:pPr>
        <w:pStyle w:val="Titolo4"/>
        <w:keepNext w:val="0"/>
        <w:keepLines w:val="0"/>
        <w:rPr>
          <w:color w:val="000000"/>
          <w:sz w:val="22"/>
          <w:szCs w:val="22"/>
        </w:rPr>
      </w:pPr>
      <w:bookmarkStart w:id="17" w:name="_6anogzcydem0" w:colFirst="0" w:colLast="0"/>
      <w:bookmarkEnd w:id="17"/>
    </w:p>
    <w:p w:rsidR="00885929" w:rsidRDefault="007F469E">
      <w:pPr>
        <w:pStyle w:val="Titolo4"/>
      </w:pPr>
      <w:bookmarkStart w:id="18" w:name="_yhj7429hdy3f" w:colFirst="0" w:colLast="0"/>
      <w:bookmarkEnd w:id="18"/>
      <w:r>
        <w:t>2. SOGGETTI E RESPONSABILITÀ</w:t>
      </w:r>
    </w:p>
    <w:p w:rsidR="00885929" w:rsidRPr="001C67DC" w:rsidRDefault="007F469E">
      <w:pPr>
        <w:spacing w:after="200" w:line="240" w:lineRule="auto"/>
        <w:jc w:val="both"/>
        <w:rPr>
          <w:rFonts w:ascii="Titillium Web" w:eastAsia="Titillium Web" w:hAnsi="Titillium Web" w:cs="Titillium Web"/>
        </w:rPr>
      </w:pPr>
      <w:r w:rsidRPr="001C67DC">
        <w:rPr>
          <w:rFonts w:ascii="Titillium Web" w:eastAsia="Titillium Web" w:hAnsi="Titillium Web" w:cs="Titillium Web"/>
        </w:rPr>
        <w:t xml:space="preserve">L'assetto delle responsabilità nel Comune tiene conto della gestione associata </w:t>
      </w:r>
      <w:r w:rsidR="001C67DC" w:rsidRPr="001C67DC">
        <w:rPr>
          <w:rFonts w:ascii="Titillium Web" w:eastAsia="Titillium Web" w:hAnsi="Titillium Web" w:cs="Titillium Web"/>
        </w:rPr>
        <w:t>del seguente personale:</w:t>
      </w:r>
    </w:p>
    <w:p w:rsidR="001C67DC" w:rsidRDefault="001C67DC">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 segretario Comunale, Dott.ssa Barbara VALLASCIANI in servizio sia presso il Comune di </w:t>
      </w:r>
      <w:r w:rsidR="00C90484">
        <w:rPr>
          <w:rFonts w:ascii="Titillium Web" w:eastAsia="Titillium Web" w:hAnsi="Titillium Web" w:cs="Titillium Web"/>
        </w:rPr>
        <w:t>Monte Giberto</w:t>
      </w:r>
      <w:r>
        <w:rPr>
          <w:rFonts w:ascii="Titillium Web" w:eastAsia="Titillium Web" w:hAnsi="Titillium Web" w:cs="Titillium Web"/>
        </w:rPr>
        <w:t xml:space="preserve"> che presso i Comuni di </w:t>
      </w:r>
      <w:r w:rsidR="00C90484">
        <w:rPr>
          <w:rFonts w:ascii="Titillium Web" w:eastAsia="Titillium Web" w:hAnsi="Titillium Web" w:cs="Titillium Web"/>
        </w:rPr>
        <w:t>Santa Vittoria in Matenano</w:t>
      </w:r>
      <w:r>
        <w:rPr>
          <w:rFonts w:ascii="Titillium Web" w:eastAsia="Titillium Web" w:hAnsi="Titillium Web" w:cs="Titillium Web"/>
        </w:rPr>
        <w:t xml:space="preserve"> (FM) </w:t>
      </w:r>
      <w:r w:rsidR="00F10F23">
        <w:rPr>
          <w:rFonts w:ascii="Titillium Web" w:eastAsia="Titillium Web" w:hAnsi="Titillium Web" w:cs="Titillium Web"/>
        </w:rPr>
        <w:t>e di Montalto delle Marche (AP).</w:t>
      </w:r>
    </w:p>
    <w:p w:rsidR="00885929" w:rsidRDefault="007F469E">
      <w:pPr>
        <w:pStyle w:val="Titolo5"/>
        <w:rPr>
          <w:sz w:val="22"/>
          <w:szCs w:val="22"/>
        </w:rPr>
      </w:pPr>
      <w:bookmarkStart w:id="19" w:name="_rfnl1xizr37y" w:colFirst="0" w:colLast="0"/>
      <w:bookmarkStart w:id="20" w:name="_j7feqylpp3qg" w:colFirst="0" w:colLast="0"/>
      <w:bookmarkEnd w:id="19"/>
      <w:bookmarkEnd w:id="20"/>
      <w:r>
        <w:rPr>
          <w:sz w:val="22"/>
          <w:szCs w:val="22"/>
        </w:rPr>
        <w:t>2.1 - L’organo di indirizzo politico</w:t>
      </w:r>
    </w:p>
    <w:p w:rsidR="00885929" w:rsidRDefault="007F469E">
      <w:p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rPr>
        <w:t>L</w:t>
      </w:r>
      <w:r>
        <w:rPr>
          <w:rFonts w:ascii="Titillium Web" w:eastAsia="Titillium Web" w:hAnsi="Titillium Web" w:cs="Titillium Web"/>
          <w:highlight w:val="white"/>
        </w:rPr>
        <w:t>’organo di indirizzo politico</w:t>
      </w:r>
      <w:r>
        <w:rPr>
          <w:rFonts w:ascii="Titillium Web" w:eastAsia="Titillium Web" w:hAnsi="Titillium Web" w:cs="Titillium Web"/>
        </w:rPr>
        <w:t xml:space="preserve"> - </w:t>
      </w:r>
      <w:r>
        <w:rPr>
          <w:rFonts w:ascii="Titillium Web" w:eastAsia="Titillium Web" w:hAnsi="Titillium Web" w:cs="Titillium Web"/>
          <w:highlight w:val="white"/>
        </w:rPr>
        <w:t xml:space="preserve">in particolare la </w:t>
      </w:r>
      <w:r>
        <w:rPr>
          <w:rFonts w:ascii="Titillium Web" w:eastAsia="Titillium Web" w:hAnsi="Titillium Web" w:cs="Titillium Web"/>
          <w:b/>
          <w:bCs/>
          <w:highlight w:val="white"/>
        </w:rPr>
        <w:t>GIUNTA comunale</w:t>
      </w:r>
      <w:r>
        <w:rPr>
          <w:rFonts w:ascii="Titillium Web" w:eastAsia="Titillium Web" w:hAnsi="Titillium Web" w:cs="Titillium Web"/>
        </w:rPr>
        <w:t xml:space="preserve"> - </w:t>
      </w:r>
      <w:r>
        <w:rPr>
          <w:rFonts w:ascii="Titillium Web" w:eastAsia="Titillium Web" w:hAnsi="Titillium Web" w:cs="Titillium Web"/>
          <w:highlight w:val="white"/>
        </w:rPr>
        <w:t xml:space="preserve">ha il compito di: </w:t>
      </w:r>
    </w:p>
    <w:p w:rsidR="00885929" w:rsidRDefault="007F469E">
      <w:pPr>
        <w:numPr>
          <w:ilvl w:val="0"/>
          <w:numId w:val="9"/>
        </w:num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dare</w:t>
      </w:r>
      <w:r>
        <w:rPr>
          <w:rFonts w:ascii="Titillium Web" w:eastAsia="Titillium Web" w:hAnsi="Titillium Web" w:cs="Titillium Web"/>
        </w:rPr>
        <w:t xml:space="preserve"> indirizzi e prevedere l’assegnazione di risorse al Segretario-RPCT ed ai Responsabili gestionali al fine di </w:t>
      </w:r>
      <w:r>
        <w:rPr>
          <w:rFonts w:ascii="Titillium Web" w:eastAsia="Titillium Web" w:hAnsi="Titillium Web" w:cs="Titillium Web"/>
          <w:highlight w:val="white"/>
        </w:rPr>
        <w:t>valorizzare</w:t>
      </w:r>
      <w:r>
        <w:rPr>
          <w:rFonts w:ascii="Titillium Web" w:eastAsia="Titillium Web" w:hAnsi="Titillium Web" w:cs="Titillium Web"/>
        </w:rPr>
        <w:t xml:space="preserve"> -</w:t>
      </w:r>
      <w:r>
        <w:rPr>
          <w:rFonts w:ascii="Titillium Web" w:eastAsia="Titillium Web" w:hAnsi="Titillium Web" w:cs="Titillium Web"/>
          <w:highlight w:val="white"/>
        </w:rPr>
        <w:t xml:space="preserve"> </w:t>
      </w:r>
      <w:r>
        <w:rPr>
          <w:rFonts w:ascii="Titillium Web" w:eastAsia="Titillium Web" w:hAnsi="Titillium Web" w:cs="Titillium Web"/>
          <w:i/>
          <w:iCs/>
        </w:rPr>
        <w:t>in sede di programmazione strategica e gestionale</w:t>
      </w:r>
      <w:r>
        <w:rPr>
          <w:rFonts w:ascii="Titillium Web" w:eastAsia="Titillium Web" w:hAnsi="Titillium Web" w:cs="Titillium Web"/>
        </w:rPr>
        <w:t xml:space="preserve"> - </w:t>
      </w:r>
      <w:r>
        <w:rPr>
          <w:rFonts w:ascii="Titillium Web" w:eastAsia="Titillium Web" w:hAnsi="Titillium Web" w:cs="Titillium Web"/>
          <w:highlight w:val="white"/>
        </w:rPr>
        <w:t xml:space="preserve">lo sviluppo e la realizzazione di un efficace processo di gestione del rischio di corruzione e di attuazione delle misure di prevenzione della corruzione e di trasparenza; </w:t>
      </w:r>
    </w:p>
    <w:p w:rsidR="00885929" w:rsidRDefault="007F469E">
      <w:pPr>
        <w:numPr>
          <w:ilvl w:val="0"/>
          <w:numId w:val="9"/>
        </w:num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lastRenderedPageBreak/>
        <w:t>assicurare</w:t>
      </w:r>
      <w:r>
        <w:rPr>
          <w:rFonts w:ascii="Titillium Web" w:eastAsia="Titillium Web" w:hAnsi="Titillium Web" w:cs="Titillium Web"/>
          <w:b/>
          <w:bCs/>
          <w:highlight w:val="white"/>
        </w:rPr>
        <w:t xml:space="preserve"> </w:t>
      </w:r>
      <w:r>
        <w:rPr>
          <w:rFonts w:ascii="Titillium Web" w:eastAsia="Titillium Web" w:hAnsi="Titillium Web" w:cs="Titillium Web"/>
          <w:highlight w:val="white"/>
        </w:rPr>
        <w:t xml:space="preserve">al RPCT (vedi successivo 2.2) un supporto concreto, garantendo la disponibilità di risorse adeguate, al fine di favorire il corretto svolgimento delle sue funzioni; </w:t>
      </w:r>
    </w:p>
    <w:p w:rsidR="00885929" w:rsidRDefault="007F469E">
      <w:pPr>
        <w:numPr>
          <w:ilvl w:val="0"/>
          <w:numId w:val="9"/>
        </w:num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promuovere una cultura della </w:t>
      </w:r>
      <w:r>
        <w:rPr>
          <w:rFonts w:ascii="Titillium Web" w:eastAsia="Titillium Web" w:hAnsi="Titillium Web" w:cs="Titillium Web"/>
          <w:i/>
          <w:iCs/>
          <w:highlight w:val="white"/>
        </w:rPr>
        <w:t>valutazione del rischio</w:t>
      </w:r>
      <w:r>
        <w:rPr>
          <w:rFonts w:ascii="Titillium Web" w:eastAsia="Titillium Web" w:hAnsi="Titillium Web" w:cs="Titillium Web"/>
          <w:highlight w:val="white"/>
        </w:rPr>
        <w:t xml:space="preserve"> all’interno dell’organizzazione, incentivando l’attuazione di percorsi formativi e di sensibilizzazione relativi all’etica pubblica che coinvolgano l’intero personale. </w:t>
      </w:r>
    </w:p>
    <w:p w:rsidR="00885929" w:rsidRDefault="007F469E">
      <w:pPr>
        <w:pStyle w:val="Titolo5"/>
        <w:widowControl w:val="0"/>
        <w:rPr>
          <w:sz w:val="22"/>
          <w:szCs w:val="22"/>
        </w:rPr>
      </w:pPr>
      <w:bookmarkStart w:id="21" w:name="_mso43jvsv2sh" w:colFirst="0" w:colLast="0"/>
      <w:bookmarkStart w:id="22" w:name="_a6aebv985gb2" w:colFirst="0" w:colLast="0"/>
      <w:bookmarkEnd w:id="21"/>
      <w:bookmarkEnd w:id="22"/>
      <w:r>
        <w:rPr>
          <w:sz w:val="22"/>
          <w:szCs w:val="22"/>
        </w:rPr>
        <w:t>2.2 - RPCT / Responsabile prevenzione della corruzione e per la trasparenza</w:t>
      </w:r>
    </w:p>
    <w:p w:rsidR="00885929" w:rsidRPr="001C67DC"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La legge 190/2012 (art. 1 comma 7) prevede che l’organo di indirizzo politico individui, </w:t>
      </w:r>
      <w:r>
        <w:rPr>
          <w:rFonts w:ascii="Titillium Web" w:eastAsia="Titillium Web" w:hAnsi="Titillium Web" w:cs="Titillium Web"/>
          <w:i/>
          <w:iCs/>
        </w:rPr>
        <w:t>di norma tra i dirigenti di ruolo in servizio</w:t>
      </w:r>
      <w:r>
        <w:rPr>
          <w:rFonts w:ascii="Titillium Web" w:eastAsia="Titillium Web" w:hAnsi="Titillium Web" w:cs="Titillium Web"/>
        </w:rPr>
        <w:t>, il Responsabile per la prevenzione della corruzione e della trasparenza (RPCT). Negli enti locali il RPCT è individuato, di norma, nel Segretario comunale, salva diversa e motivata determinazione</w:t>
      </w:r>
      <w:r w:rsidRPr="001C67DC">
        <w:rPr>
          <w:rFonts w:ascii="Titillium Web" w:eastAsia="Titillium Web" w:hAnsi="Titillium Web" w:cs="Titillium Web"/>
        </w:rPr>
        <w:t xml:space="preserve">. </w:t>
      </w:r>
      <w:r w:rsidRPr="001C67DC">
        <w:rPr>
          <w:rFonts w:ascii="Titillium Web" w:eastAsia="Titillium Web" w:hAnsi="Titillium Web" w:cs="Titillium Web"/>
          <w:b/>
          <w:bCs/>
        </w:rPr>
        <w:t xml:space="preserve">Il RPCT di questo Comune è il Segretario Comunale </w:t>
      </w:r>
      <w:r w:rsidR="001C67DC" w:rsidRPr="001C67DC">
        <w:rPr>
          <w:rFonts w:ascii="Titillium Web" w:eastAsia="Titillium Web" w:hAnsi="Titillium Web" w:cs="Titillium Web"/>
          <w:b/>
          <w:bCs/>
        </w:rPr>
        <w:t>Dott.ssa Barbara VALLASCIANI</w:t>
      </w:r>
      <w:r w:rsidRPr="001C67DC">
        <w:rPr>
          <w:rFonts w:ascii="Titillium Web" w:eastAsia="Titillium Web" w:hAnsi="Titillium Web" w:cs="Titillium Web"/>
        </w:rPr>
        <w:t>.</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La normativa vigente assegna al RPCT compiti di coordinamento del processo di “</w:t>
      </w:r>
      <w:r>
        <w:rPr>
          <w:rFonts w:ascii="Titillium Web" w:eastAsia="Titillium Web" w:hAnsi="Titillium Web" w:cs="Titillium Web"/>
          <w:i/>
          <w:iCs/>
        </w:rPr>
        <w:t>gestione del rischio corruttivo”</w:t>
      </w:r>
      <w:r>
        <w:rPr>
          <w:rFonts w:ascii="Titillium Web" w:eastAsia="Titillium Web" w:hAnsi="Titillium Web" w:cs="Titillium Web"/>
        </w:rPr>
        <w:t xml:space="preserve">, con particolare riferimento alla fase di predisposizione del </w:t>
      </w:r>
      <w:r>
        <w:rPr>
          <w:rFonts w:ascii="Titillium Web" w:eastAsia="Titillium Web" w:hAnsi="Titillium Web" w:cs="Titillium Web"/>
          <w:i/>
          <w:iCs/>
        </w:rPr>
        <w:t>Piano triennale di prevenzione della corruzione e della trasparenza (PTPCT)</w:t>
      </w:r>
      <w:r>
        <w:rPr>
          <w:rFonts w:ascii="Titillium Web" w:eastAsia="Titillium Web" w:hAnsi="Titillium Web" w:cs="Titillium Web"/>
        </w:rPr>
        <w:t xml:space="preserve">  e al suo monitoraggio.</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Il PNA-ANAC evidenzia che l’art. 8 del DPR 62/2013 impone un </w:t>
      </w:r>
      <w:r>
        <w:rPr>
          <w:rFonts w:ascii="Titillium Web" w:eastAsia="Titillium Web" w:hAnsi="Titillium Web" w:cs="Titillium Web"/>
          <w:u w:val="single"/>
        </w:rPr>
        <w:t>dovere di collaborazione nei confronti del RPCT,</w:t>
      </w:r>
      <w:r>
        <w:rPr>
          <w:rFonts w:ascii="Titillium Web" w:eastAsia="Titillium Web" w:hAnsi="Titillium Web" w:cs="Titillium Web"/>
        </w:rPr>
        <w:t xml:space="preserve"> la cui violazione è sanzionabile disciplinarmente. Pertanto, tutti i Responsabili apicali ed il personale dipendente a T.I. e T.D. sono tenuti a fornire al RPCT la necessaria collaborazione. </w:t>
      </w:r>
    </w:p>
    <w:p w:rsidR="00885929" w:rsidRDefault="007F469E">
      <w:pPr>
        <w:spacing w:before="120" w:after="200" w:line="240" w:lineRule="auto"/>
        <w:jc w:val="both"/>
        <w:rPr>
          <w:rFonts w:ascii="Titillium Web" w:eastAsia="Titillium Web" w:hAnsi="Titillium Web" w:cs="Titillium Web"/>
          <w:i/>
          <w:iCs/>
          <w:sz w:val="20"/>
          <w:szCs w:val="20"/>
          <w:highlight w:val="white"/>
        </w:rPr>
      </w:pPr>
      <w:r>
        <w:rPr>
          <w:rFonts w:ascii="Titillium Web" w:eastAsia="Titillium Web" w:hAnsi="Titillium Web" w:cs="Titillium Web"/>
          <w:i/>
          <w:iCs/>
          <w:sz w:val="20"/>
          <w:szCs w:val="20"/>
        </w:rPr>
        <w:t>Il RPCT svolge i seguenti compiti, ove dotato di adeguate risorse, nell’ambito della programmazione strategica e gestionale approvata dagli organi di indirizzo polit</w:t>
      </w:r>
      <w:r>
        <w:rPr>
          <w:rFonts w:ascii="Titillium Web" w:eastAsia="Titillium Web" w:hAnsi="Titillium Web" w:cs="Titillium Web"/>
          <w:i/>
          <w:iCs/>
          <w:sz w:val="20"/>
          <w:szCs w:val="20"/>
          <w:highlight w:val="white"/>
        </w:rPr>
        <w:t xml:space="preserve">ico: </w:t>
      </w:r>
    </w:p>
    <w:p w:rsidR="00885929" w:rsidRDefault="007F469E">
      <w:pPr>
        <w:numPr>
          <w:ilvl w:val="0"/>
          <w:numId w:val="20"/>
        </w:numPr>
        <w:spacing w:before="120"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elabora e propone per l’approvazione dell’organo di indirizzo politico il PTPCT (articolo 1 comma 8 legge 190/2012), adesso integrato come SEZIONE 2.3 DEL PIAO;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verifica efficace attuazione e</w:t>
      </w:r>
      <w:r>
        <w:rPr>
          <w:rFonts w:ascii="Titillium Web" w:eastAsia="Titillium Web" w:hAnsi="Titillium Web" w:cs="Titillium Web"/>
          <w:i/>
          <w:iCs/>
          <w:sz w:val="20"/>
          <w:szCs w:val="20"/>
        </w:rPr>
        <w:t xml:space="preserve">d </w:t>
      </w:r>
      <w:r>
        <w:rPr>
          <w:rFonts w:ascii="Titillium Web" w:eastAsia="Titillium Web" w:hAnsi="Titillium Web" w:cs="Titillium Web"/>
          <w:i/>
          <w:iCs/>
          <w:sz w:val="20"/>
          <w:szCs w:val="20"/>
          <w:highlight w:val="white"/>
        </w:rPr>
        <w:t>idoneità del PTPCT</w:t>
      </w:r>
      <w:r>
        <w:rPr>
          <w:rFonts w:ascii="Titillium Web" w:eastAsia="Titillium Web" w:hAnsi="Titillium Web" w:cs="Titillium Web"/>
          <w:i/>
          <w:iCs/>
          <w:sz w:val="20"/>
          <w:szCs w:val="20"/>
        </w:rPr>
        <w:t xml:space="preserve"> approvato</w:t>
      </w:r>
      <w:r>
        <w:rPr>
          <w:rFonts w:ascii="Titillium Web" w:eastAsia="Titillium Web" w:hAnsi="Titillium Web" w:cs="Titillium Web"/>
          <w:i/>
          <w:iCs/>
          <w:sz w:val="20"/>
          <w:szCs w:val="20"/>
          <w:highlight w:val="white"/>
        </w:rPr>
        <w:t xml:space="preserve"> (art. 1 co.10/a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comunica agli uffici le misure anticorruzione e per la trasparenza adottate e le relative modalità applicative e vigila sull'osservanza del piano (art. 1 co.14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propone le modifiche del PTPCT qualora intervengano mutamenti nell'organizzazione o nell'attività dell'amministrazione, ovvero a seguito di significative violazioni delle prescrizioni del piano stesso (art. 1 co.10/a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definisce le procedure per selezionare e formare i dipendenti destinati ad operare in settori di attività particolarmente esposti alla corruzione (art. 1 co.8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individua il personale da inserire nei programmi di formazione, prevedendo </w:t>
      </w:r>
      <w:r>
        <w:rPr>
          <w:rFonts w:ascii="Titillium Web" w:eastAsia="Titillium Web" w:hAnsi="Titillium Web" w:cs="Titillium Web"/>
          <w:i/>
          <w:iCs/>
          <w:sz w:val="20"/>
          <w:szCs w:val="20"/>
        </w:rPr>
        <w:t>percorsi formativi generali e specifici sui temi dell'etica e della legalità</w:t>
      </w:r>
      <w:r>
        <w:rPr>
          <w:rFonts w:ascii="Titillium Web" w:eastAsia="Titillium Web" w:hAnsi="Titillium Web" w:cs="Titillium Web"/>
          <w:i/>
          <w:iCs/>
          <w:sz w:val="20"/>
          <w:szCs w:val="20"/>
          <w:highlight w:val="white"/>
        </w:rPr>
        <w:t xml:space="preserve"> (art. 1 co. 10/c e art.11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verifica l'effettiva rotazione degli incarichi negli uffici che svolgono attività per le quali è più elevato il rischio (articolo 1 co.10/b L.190/2012)</w:t>
      </w:r>
      <w:r>
        <w:rPr>
          <w:rFonts w:ascii="Titillium Web" w:eastAsia="Titillium Web" w:hAnsi="Titillium Web" w:cs="Titillium Web"/>
          <w:i/>
          <w:iCs/>
          <w:sz w:val="20"/>
          <w:szCs w:val="20"/>
        </w:rPr>
        <w:t xml:space="preserve">... </w:t>
      </w:r>
      <w:r>
        <w:rPr>
          <w:rFonts w:ascii="Titillium Web" w:eastAsia="Titillium Web" w:hAnsi="Titillium Web" w:cs="Titillium Web"/>
          <w:i/>
          <w:iCs/>
          <w:sz w:val="20"/>
          <w:szCs w:val="20"/>
          <w:highlight w:val="white"/>
        </w:rPr>
        <w:t>ove la dimensione dell'ente risulti compatibile con la rotazione degli incaric</w:t>
      </w:r>
      <w:r>
        <w:rPr>
          <w:rFonts w:ascii="Titillium Web" w:eastAsia="Titillium Web" w:hAnsi="Titillium Web" w:cs="Titillium Web"/>
          <w:i/>
          <w:iCs/>
          <w:sz w:val="20"/>
          <w:szCs w:val="20"/>
        </w:rPr>
        <w:t>hi di responsabilità apicale</w:t>
      </w:r>
      <w:r>
        <w:rPr>
          <w:rFonts w:ascii="Titillium Web" w:eastAsia="Titillium Web" w:hAnsi="Titillium Web" w:cs="Titillium Web"/>
          <w:i/>
          <w:iCs/>
          <w:sz w:val="20"/>
          <w:szCs w:val="20"/>
          <w:highlight w:val="white"/>
        </w:rPr>
        <w:t xml:space="preserve">; </w:t>
      </w:r>
    </w:p>
    <w:p w:rsidR="00885929" w:rsidRPr="001C67DC" w:rsidRDefault="007F469E">
      <w:pPr>
        <w:numPr>
          <w:ilvl w:val="0"/>
          <w:numId w:val="20"/>
        </w:numPr>
        <w:spacing w:after="200" w:line="240" w:lineRule="auto"/>
        <w:jc w:val="both"/>
        <w:rPr>
          <w:rFonts w:ascii="Calibri" w:eastAsia="Calibri" w:hAnsi="Calibri" w:cs="Calibri"/>
          <w:i/>
          <w:iCs/>
          <w:sz w:val="20"/>
          <w:szCs w:val="20"/>
        </w:rPr>
      </w:pPr>
      <w:r>
        <w:rPr>
          <w:rFonts w:ascii="Titillium Web" w:eastAsia="Titillium Web" w:hAnsi="Titillium Web" w:cs="Titillium Web"/>
          <w:i/>
          <w:iCs/>
          <w:sz w:val="20"/>
          <w:szCs w:val="20"/>
          <w:highlight w:val="white"/>
        </w:rPr>
        <w:lastRenderedPageBreak/>
        <w:t xml:space="preserve">riferisce sull’attività svolta all’organo di indirizzo, nei casi in cui lo stesso organo di indirizzo politico lo </w:t>
      </w:r>
      <w:r w:rsidRPr="001C67DC">
        <w:rPr>
          <w:rFonts w:ascii="Titillium Web" w:eastAsia="Titillium Web" w:hAnsi="Titillium Web" w:cs="Titillium Web"/>
          <w:i/>
          <w:iCs/>
          <w:sz w:val="20"/>
          <w:szCs w:val="20"/>
        </w:rPr>
        <w:t xml:space="preserve">richieda, o qualora egli stesso lo ritenga opportuno (art. 1 co.14 L.190/2012); </w:t>
      </w:r>
    </w:p>
    <w:p w:rsidR="00885929" w:rsidRPr="001C67DC" w:rsidRDefault="007F469E">
      <w:pPr>
        <w:numPr>
          <w:ilvl w:val="0"/>
          <w:numId w:val="20"/>
        </w:numPr>
        <w:spacing w:after="200" w:line="240" w:lineRule="auto"/>
        <w:jc w:val="both"/>
        <w:rPr>
          <w:rFonts w:ascii="Calibri" w:eastAsia="Calibri" w:hAnsi="Calibri" w:cs="Calibri"/>
          <w:i/>
          <w:iCs/>
          <w:sz w:val="20"/>
          <w:szCs w:val="20"/>
        </w:rPr>
      </w:pPr>
      <w:r w:rsidRPr="001C67DC">
        <w:rPr>
          <w:rFonts w:ascii="Titillium Web" w:eastAsia="Titillium Web" w:hAnsi="Titillium Web" w:cs="Titillium Web"/>
          <w:i/>
          <w:iCs/>
          <w:sz w:val="20"/>
          <w:szCs w:val="20"/>
        </w:rPr>
        <w:t xml:space="preserve">entro il 15 dicembre di ogni anno, trasmette all’OIV e all’organo di indirizzo una relazione recante i risultati dell’attività svolta, pubblicata nel sito web dell’amministrazione;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trasmette all’OIV informazioni e documenti quando richiesti dallo stesso organo di controllo (art. 1 co.8-bis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segnala all'organo di indirizzo e all'OIV le eventuali disfunzioni inerenti all'attuazione delle misure in materia di prevenzione della corruzione e di trasparenza (art. 1 comma 7 legge 190/2012);</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indica all’UPD i dipendenti che non hanno attuato correttamente le misure in materia di prevenzione della corruzione e di trasparenza (art. 1 co. 7 L.190/2012);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segnala all’ANAC le eventuali misure discriminatorie, dirette o indirette, assunte nei suoi confronti “per motivi collegati, direttamente o indirettamente, allo svolgimento delle sue funzioni” (articolo 1 comma 7 legge 190/2012); </w:t>
      </w:r>
    </w:p>
    <w:p w:rsidR="00885929" w:rsidRDefault="007F469E">
      <w:pPr>
        <w:numPr>
          <w:ilvl w:val="0"/>
          <w:numId w:val="20"/>
        </w:numPr>
        <w:spacing w:after="200" w:line="240" w:lineRule="auto"/>
        <w:jc w:val="both"/>
        <w:rPr>
          <w:rFonts w:ascii="Titillium Web" w:eastAsia="Titillium Web" w:hAnsi="Titillium Web" w:cs="Titillium Web"/>
          <w:i/>
          <w:iCs/>
          <w:sz w:val="20"/>
          <w:szCs w:val="20"/>
          <w:highlight w:val="white"/>
        </w:rPr>
      </w:pPr>
      <w:r>
        <w:rPr>
          <w:rFonts w:ascii="Titillium Web" w:eastAsia="Titillium Web" w:hAnsi="Titillium Web" w:cs="Titillium Web"/>
          <w:i/>
          <w:iCs/>
          <w:sz w:val="20"/>
          <w:szCs w:val="20"/>
          <w:highlight w:val="white"/>
        </w:rPr>
        <w:t xml:space="preserve">quando richiesto, riferisce all’ANAC in merito allo stato di attuazione delle misure di prevenzione della corruzione e per la trasparenza (PNA 2016, paragrafo 5.3, pagina 23);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u w:val="single"/>
        </w:rPr>
        <w:t>quale responsabile per la trasparenza</w:t>
      </w:r>
      <w:r>
        <w:rPr>
          <w:rFonts w:ascii="Titillium Web" w:eastAsia="Titillium Web" w:hAnsi="Titillium Web" w:cs="Titillium Web"/>
          <w:i/>
          <w:iCs/>
          <w:sz w:val="20"/>
          <w:szCs w:val="20"/>
          <w:highlight w:val="white"/>
        </w:rPr>
        <w:t xml:space="preserve">, svolge un'attività di controllo sull'adempimento degli obblighi di pubblicazione previsti dalla normativa vigente, assicurando la completezza, la chiarezza e l'aggiornamento delle informazioni pubblicate (art. 43 co. 1 del </w:t>
      </w:r>
      <w:proofErr w:type="spellStart"/>
      <w:r>
        <w:rPr>
          <w:rFonts w:ascii="Titillium Web" w:eastAsia="Titillium Web" w:hAnsi="Titillium Web" w:cs="Titillium Web"/>
          <w:i/>
          <w:iCs/>
          <w:sz w:val="20"/>
          <w:szCs w:val="20"/>
          <w:highlight w:val="white"/>
        </w:rPr>
        <w:t>d.lgs</w:t>
      </w:r>
      <w:proofErr w:type="spellEnd"/>
      <w:r>
        <w:rPr>
          <w:rFonts w:ascii="Titillium Web" w:eastAsia="Titillium Web" w:hAnsi="Titillium Web" w:cs="Titillium Web"/>
          <w:i/>
          <w:iCs/>
          <w:sz w:val="20"/>
          <w:szCs w:val="20"/>
          <w:highlight w:val="white"/>
        </w:rPr>
        <w:t xml:space="preserve"> 33/2013). </w:t>
      </w:r>
    </w:p>
    <w:p w:rsidR="00885929" w:rsidRDefault="007F469E">
      <w:pPr>
        <w:numPr>
          <w:ilvl w:val="0"/>
          <w:numId w:val="20"/>
        </w:numPr>
        <w:spacing w:after="200" w:line="240" w:lineRule="auto"/>
        <w:jc w:val="both"/>
        <w:rPr>
          <w:rFonts w:ascii="Titillium Web" w:eastAsia="Titillium Web" w:hAnsi="Titillium Web" w:cs="Titillium Web"/>
          <w:i/>
          <w:iCs/>
          <w:sz w:val="20"/>
          <w:szCs w:val="20"/>
          <w:highlight w:val="white"/>
        </w:rPr>
      </w:pPr>
      <w:r>
        <w:rPr>
          <w:rFonts w:ascii="Titillium Web" w:eastAsia="Titillium Web" w:hAnsi="Titillium Web" w:cs="Titillium Web"/>
          <w:i/>
          <w:iCs/>
          <w:sz w:val="20"/>
          <w:szCs w:val="20"/>
          <w:highlight w:val="white"/>
          <w:u w:val="single"/>
        </w:rPr>
        <w:t>quale responsabile per la trasparenza,</w:t>
      </w:r>
      <w:r>
        <w:rPr>
          <w:rFonts w:ascii="Titillium Web" w:eastAsia="Titillium Web" w:hAnsi="Titillium Web" w:cs="Titillium Web"/>
          <w:i/>
          <w:iCs/>
          <w:sz w:val="20"/>
          <w:szCs w:val="20"/>
          <w:highlight w:val="white"/>
        </w:rPr>
        <w:t xml:space="preserve"> segnala all'organo di indirizzo politico, all'OIV, all'ANAC (e, nei casi più gravi, all'ufficio disciplinare) i casi di mancato o ritardato adempimento degli obblighi di pubblicazione (art. 43 co.1 e 5 del </w:t>
      </w:r>
      <w:proofErr w:type="spellStart"/>
      <w:r>
        <w:rPr>
          <w:rFonts w:ascii="Titillium Web" w:eastAsia="Titillium Web" w:hAnsi="Titillium Web" w:cs="Titillium Web"/>
          <w:i/>
          <w:iCs/>
          <w:sz w:val="20"/>
          <w:szCs w:val="20"/>
          <w:highlight w:val="white"/>
        </w:rPr>
        <w:t>d.lgs</w:t>
      </w:r>
      <w:proofErr w:type="spellEnd"/>
      <w:r>
        <w:rPr>
          <w:rFonts w:ascii="Titillium Web" w:eastAsia="Titillium Web" w:hAnsi="Titillium Web" w:cs="Titillium Web"/>
          <w:i/>
          <w:iCs/>
          <w:sz w:val="20"/>
          <w:szCs w:val="20"/>
          <w:highlight w:val="white"/>
        </w:rPr>
        <w:t xml:space="preserve"> 33/2013);  </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al fine di assicurare l’effettivo inserimento dei dati nell’Anagrafe unica delle stazioni appaltanti </w:t>
      </w:r>
      <w:r>
        <w:rPr>
          <w:rFonts w:ascii="Titillium Web" w:eastAsia="Titillium Web" w:hAnsi="Titillium Web" w:cs="Titillium Web"/>
          <w:i/>
          <w:iCs/>
          <w:sz w:val="20"/>
          <w:szCs w:val="20"/>
          <w:highlight w:val="white"/>
          <w:u w:val="single"/>
        </w:rPr>
        <w:t>(AUSA)</w:t>
      </w:r>
      <w:r>
        <w:rPr>
          <w:rFonts w:ascii="Titillium Web" w:eastAsia="Titillium Web" w:hAnsi="Titillium Web" w:cs="Titillium Web"/>
          <w:i/>
          <w:iCs/>
          <w:sz w:val="20"/>
          <w:szCs w:val="20"/>
          <w:highlight w:val="white"/>
        </w:rPr>
        <w:t xml:space="preserve">, sollecita l’individuazione del </w:t>
      </w:r>
      <w:r>
        <w:rPr>
          <w:rFonts w:ascii="Titillium Web" w:eastAsia="Titillium Web" w:hAnsi="Titillium Web" w:cs="Titillium Web"/>
          <w:i/>
          <w:iCs/>
          <w:sz w:val="20"/>
          <w:szCs w:val="20"/>
          <w:highlight w:val="white"/>
          <w:u w:val="single"/>
        </w:rPr>
        <w:t>RASA</w:t>
      </w:r>
      <w:r>
        <w:rPr>
          <w:rFonts w:ascii="Titillium Web" w:eastAsia="Titillium Web" w:hAnsi="Titillium Web" w:cs="Titillium Web"/>
          <w:i/>
          <w:iCs/>
          <w:sz w:val="20"/>
          <w:szCs w:val="20"/>
          <w:highlight w:val="white"/>
        </w:rPr>
        <w:t>, cioè il responsabile preposto all’iscrizione e all’aggiornamento dei dati e a indicarne il nome all’interno del PTPCT (PNA 2016 § 5.2 pag. 21);</w:t>
      </w:r>
    </w:p>
    <w:p w:rsidR="00885929" w:rsidRDefault="007F469E">
      <w:pPr>
        <w:numPr>
          <w:ilvl w:val="0"/>
          <w:numId w:val="20"/>
        </w:numPr>
        <w:spacing w:after="200" w:line="240" w:lineRule="auto"/>
        <w:jc w:val="both"/>
        <w:rPr>
          <w:rFonts w:ascii="Calibri" w:eastAsia="Calibri" w:hAnsi="Calibri" w:cs="Calibri"/>
          <w:i/>
          <w:iCs/>
          <w:sz w:val="20"/>
          <w:szCs w:val="20"/>
          <w:highlight w:val="white"/>
        </w:rPr>
      </w:pPr>
      <w:r>
        <w:rPr>
          <w:rFonts w:ascii="Titillium Web" w:eastAsia="Titillium Web" w:hAnsi="Titillium Web" w:cs="Titillium Web"/>
          <w:i/>
          <w:iCs/>
          <w:sz w:val="20"/>
          <w:szCs w:val="20"/>
          <w:highlight w:val="white"/>
        </w:rPr>
        <w:t xml:space="preserve">propone la designazione del responsabile “gestore delle segnalazioni di operazioni finanziarie sospette” ai sensi del DM 25 settembre 2015 (PNA 2016 § 5.2 pagina 17). </w:t>
      </w:r>
    </w:p>
    <w:p w:rsidR="00885929" w:rsidRDefault="007F469E">
      <w:pPr>
        <w:spacing w:before="120" w:after="200" w:line="240" w:lineRule="auto"/>
        <w:jc w:val="both"/>
        <w:rPr>
          <w:rFonts w:ascii="Titillium Web" w:eastAsia="Titillium Web" w:hAnsi="Titillium Web" w:cs="Titillium Web"/>
          <w:b/>
          <w:bCs/>
        </w:rPr>
      </w:pPr>
      <w:r>
        <w:rPr>
          <w:rFonts w:ascii="Titillium Web" w:eastAsia="Titillium Web" w:hAnsi="Titillium Web" w:cs="Titillium Web"/>
          <w:b/>
          <w:bCs/>
          <w:highlight w:val="white"/>
        </w:rPr>
        <w:t>Il RPCT svolge attività di controllo sull’adempimento degli obblighi di pubblicazione</w:t>
      </w:r>
      <w:r>
        <w:rPr>
          <w:rFonts w:ascii="Titillium Web" w:eastAsia="Titillium Web" w:hAnsi="Titillium Web" w:cs="Titillium Web"/>
          <w:highlight w:val="white"/>
        </w:rPr>
        <w:t xml:space="preserve"> previsti dalla normativa vigente, assicurando la completezza, la chiarezza e l’aggiornamento delle informazioni pubblicate, nonché segnalando all’organo di indirizzo politico, all’OIV, all’ANAC e, nei casi più gravi, all’UPD i casi di mancato o ritardato adempimento (art. 43, comma 1, d.lgs. 33/2013). </w:t>
      </w:r>
    </w:p>
    <w:p w:rsidR="00885929" w:rsidRPr="008274D5" w:rsidRDefault="008656AA">
      <w:pPr>
        <w:pStyle w:val="Titolo5"/>
        <w:rPr>
          <w:sz w:val="22"/>
          <w:szCs w:val="22"/>
          <w:highlight w:val="none"/>
        </w:rPr>
      </w:pPr>
      <w:bookmarkStart w:id="23" w:name="_vzvtq3tw3dqq" w:colFirst="0" w:colLast="0"/>
      <w:bookmarkEnd w:id="23"/>
      <w:r>
        <w:rPr>
          <w:sz w:val="22"/>
          <w:szCs w:val="22"/>
          <w:highlight w:val="none"/>
        </w:rPr>
        <w:t>2.3</w:t>
      </w:r>
      <w:r w:rsidR="007F469E" w:rsidRPr="008274D5">
        <w:rPr>
          <w:sz w:val="22"/>
          <w:szCs w:val="22"/>
          <w:highlight w:val="none"/>
        </w:rPr>
        <w:t xml:space="preserve"> - RTD (Responsabile transizione digitale) del Comune </w:t>
      </w:r>
    </w:p>
    <w:p w:rsidR="00885929" w:rsidRDefault="007F469E">
      <w:pPr>
        <w:spacing w:after="200" w:line="240" w:lineRule="auto"/>
        <w:jc w:val="both"/>
        <w:rPr>
          <w:rFonts w:ascii="Titillium Web" w:eastAsia="Titillium Web" w:hAnsi="Titillium Web" w:cs="Titillium Web"/>
        </w:rPr>
      </w:pPr>
      <w:r w:rsidRPr="008274D5">
        <w:rPr>
          <w:rFonts w:ascii="Titillium Web" w:eastAsia="Titillium Web" w:hAnsi="Titillium Web" w:cs="Titillium Web"/>
        </w:rPr>
        <w:t xml:space="preserve">Insieme al Segretario-RPCT ed al ragioniere-capo, funge da punto di raccordo interno tra i vari servizi per la digitalizzazione dei servizi. </w:t>
      </w:r>
      <w:r w:rsidR="00704C3D">
        <w:rPr>
          <w:rFonts w:ascii="Titillium Web" w:eastAsia="Titillium Web" w:hAnsi="Titillium Web" w:cs="Titillium Web"/>
        </w:rPr>
        <w:t>I</w:t>
      </w:r>
      <w:r w:rsidR="008274D5">
        <w:rPr>
          <w:rFonts w:ascii="Titillium Web" w:eastAsia="Titillium Web" w:hAnsi="Titillium Web" w:cs="Titillium Web"/>
        </w:rPr>
        <w:t xml:space="preserve">l responsabile della transizione digitale </w:t>
      </w:r>
      <w:r w:rsidR="00704C3D">
        <w:rPr>
          <w:rFonts w:ascii="Titillium Web" w:eastAsia="Titillium Web" w:hAnsi="Titillium Web" w:cs="Titillium Web"/>
        </w:rPr>
        <w:t>è la</w:t>
      </w:r>
      <w:r w:rsidR="008274D5">
        <w:rPr>
          <w:rFonts w:ascii="Titillium Web" w:eastAsia="Titillium Web" w:hAnsi="Titillium Web" w:cs="Titillium Web"/>
        </w:rPr>
        <w:t xml:space="preserve"> Responsabile </w:t>
      </w:r>
      <w:r w:rsidR="00704C3D">
        <w:rPr>
          <w:rFonts w:ascii="Titillium Web" w:eastAsia="Titillium Web" w:hAnsi="Titillium Web" w:cs="Titillium Web"/>
        </w:rPr>
        <w:t xml:space="preserve">dell’Area Amministrativa giusto decreto sindacale n. 3 del </w:t>
      </w:r>
      <w:r w:rsidR="00967FA9">
        <w:rPr>
          <w:rFonts w:ascii="Titillium Web" w:eastAsia="Titillium Web" w:hAnsi="Titillium Web" w:cs="Titillium Web"/>
        </w:rPr>
        <w:t>02/05/2022</w:t>
      </w:r>
      <w:r w:rsidR="008274D5">
        <w:rPr>
          <w:rFonts w:ascii="Titillium Web" w:eastAsia="Titillium Web" w:hAnsi="Titillium Web" w:cs="Titillium Web"/>
        </w:rPr>
        <w:t xml:space="preserve">. </w:t>
      </w:r>
    </w:p>
    <w:p w:rsidR="00885929" w:rsidRDefault="007F469E">
      <w:pPr>
        <w:pStyle w:val="Titolo5"/>
        <w:rPr>
          <w:sz w:val="22"/>
          <w:szCs w:val="22"/>
        </w:rPr>
      </w:pPr>
      <w:bookmarkStart w:id="24" w:name="_usmwqt94i0wq" w:colFirst="0" w:colLast="0"/>
      <w:bookmarkStart w:id="25" w:name="_s9lby1nfcw4l" w:colFirst="0" w:colLast="0"/>
      <w:bookmarkStart w:id="26" w:name="_or9qmsl1wswm" w:colFirst="0" w:colLast="0"/>
      <w:bookmarkEnd w:id="24"/>
      <w:bookmarkEnd w:id="25"/>
      <w:bookmarkEnd w:id="26"/>
      <w:r>
        <w:rPr>
          <w:sz w:val="22"/>
          <w:szCs w:val="22"/>
        </w:rPr>
        <w:lastRenderedPageBreak/>
        <w:t xml:space="preserve">2.4 - I Responsabili PO-EQ </w:t>
      </w:r>
    </w:p>
    <w:p w:rsidR="00885929" w:rsidRDefault="007F469E">
      <w:pPr>
        <w:spacing w:after="200" w:line="240" w:lineRule="auto"/>
        <w:jc w:val="both"/>
        <w:rPr>
          <w:rFonts w:ascii="Titillium Web" w:eastAsia="Titillium Web" w:hAnsi="Titillium Web" w:cs="Titillium Web"/>
          <w:b/>
          <w:bCs/>
        </w:rPr>
      </w:pPr>
      <w:r>
        <w:rPr>
          <w:rFonts w:ascii="Titillium Web" w:eastAsia="Titillium Web" w:hAnsi="Titillium Web" w:cs="Titillium Web"/>
          <w:highlight w:val="white"/>
        </w:rPr>
        <w:t>I RESPONSABILI APICALI del Comune</w:t>
      </w:r>
      <w:r>
        <w:rPr>
          <w:rFonts w:ascii="Titillium Web" w:eastAsia="Titillium Web" w:hAnsi="Titillium Web" w:cs="Titillium Web"/>
          <w:b/>
          <w:bCs/>
          <w:highlight w:val="white"/>
        </w:rPr>
        <w:t xml:space="preserve"> </w:t>
      </w:r>
      <w:r>
        <w:rPr>
          <w:rFonts w:ascii="Titillium Web" w:eastAsia="Titillium Web" w:hAnsi="Titillium Web" w:cs="Titillium Web"/>
          <w:i/>
          <w:iCs/>
          <w:highlight w:val="white"/>
        </w:rPr>
        <w:t xml:space="preserve">(RESPONSABILI PO-EQ nominati dal Sindaco a capo dei </w:t>
      </w:r>
      <w:r w:rsidR="008274D5">
        <w:rPr>
          <w:rFonts w:ascii="Titillium Web" w:eastAsia="Titillium Web" w:hAnsi="Titillium Web" w:cs="Titillium Web"/>
          <w:i/>
          <w:iCs/>
          <w:highlight w:val="white"/>
        </w:rPr>
        <w:t>2</w:t>
      </w:r>
      <w:r>
        <w:rPr>
          <w:rFonts w:ascii="Titillium Web" w:eastAsia="Titillium Web" w:hAnsi="Titillium Web" w:cs="Titillium Web"/>
          <w:i/>
          <w:iCs/>
          <w:highlight w:val="white"/>
        </w:rPr>
        <w:t xml:space="preserve"> Settori Comunali: amministrativo</w:t>
      </w:r>
      <w:r w:rsidR="008274D5">
        <w:rPr>
          <w:rFonts w:ascii="Titillium Web" w:eastAsia="Titillium Web" w:hAnsi="Titillium Web" w:cs="Titillium Web"/>
          <w:i/>
          <w:iCs/>
          <w:highlight w:val="white"/>
        </w:rPr>
        <w:t>/anagrafe/</w:t>
      </w:r>
      <w:r>
        <w:rPr>
          <w:rFonts w:ascii="Titillium Web" w:eastAsia="Titillium Web" w:hAnsi="Titillium Web" w:cs="Titillium Web"/>
          <w:i/>
          <w:iCs/>
          <w:highlight w:val="white"/>
        </w:rPr>
        <w:t>finanziario</w:t>
      </w:r>
      <w:r w:rsidR="008274D5">
        <w:rPr>
          <w:rFonts w:ascii="Titillium Web" w:eastAsia="Titillium Web" w:hAnsi="Titillium Web" w:cs="Titillium Web"/>
          <w:i/>
          <w:iCs/>
          <w:highlight w:val="white"/>
        </w:rPr>
        <w:t xml:space="preserve"> e </w:t>
      </w:r>
      <w:r>
        <w:rPr>
          <w:rFonts w:ascii="Titillium Web" w:eastAsia="Titillium Web" w:hAnsi="Titillium Web" w:cs="Titillium Web"/>
          <w:i/>
          <w:iCs/>
          <w:highlight w:val="white"/>
        </w:rPr>
        <w:t>tecnico</w:t>
      </w:r>
      <w:r w:rsidR="008274D5">
        <w:rPr>
          <w:rFonts w:ascii="Titillium Web" w:eastAsia="Titillium Web" w:hAnsi="Titillium Web" w:cs="Titillium Web"/>
          <w:i/>
          <w:iCs/>
          <w:highlight w:val="white"/>
        </w:rPr>
        <w:t>/urbanistica</w:t>
      </w:r>
      <w:r>
        <w:rPr>
          <w:rFonts w:ascii="Titillium Web" w:eastAsia="Titillium Web" w:hAnsi="Titillium Web" w:cs="Titillium Web"/>
          <w:i/>
          <w:iCs/>
          <w:highlight w:val="white"/>
        </w:rPr>
        <w:t>)</w:t>
      </w:r>
      <w:r>
        <w:rPr>
          <w:rFonts w:ascii="Titillium Web" w:eastAsia="Titillium Web" w:hAnsi="Titillium Web" w:cs="Titillium Web"/>
        </w:rPr>
        <w:t>, sono i "Responsabili gestionali" dei processi/procedimenti e responsabili anche dell'attuazione delle misure di prevenzione e monitoraggio specifiche di cui al presente Piano.</w:t>
      </w:r>
    </w:p>
    <w:p w:rsidR="00885929" w:rsidRDefault="007F469E">
      <w:p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I predetti Responsabili devono collaborare alla programmazione ed all’attuazione - nei confronti della Giunta e del Segretario-RCPT - delle misure di prevenzione e contrasto della corruzione.  In particolare, devono: </w:t>
      </w:r>
    </w:p>
    <w:p w:rsidR="00885929" w:rsidRDefault="007F469E">
      <w:pPr>
        <w:numPr>
          <w:ilvl w:val="0"/>
          <w:numId w:val="1"/>
        </w:numPr>
        <w:spacing w:after="200" w:line="240" w:lineRule="auto"/>
        <w:jc w:val="both"/>
        <w:rPr>
          <w:rFonts w:ascii="Calibri" w:eastAsia="Calibri" w:hAnsi="Calibri" w:cs="Calibri"/>
        </w:rPr>
      </w:pPr>
      <w:r>
        <w:rPr>
          <w:rFonts w:ascii="Titillium Web" w:eastAsia="Titillium Web" w:hAnsi="Titillium Web" w:cs="Titillium Web"/>
          <w:b/>
          <w:bCs/>
        </w:rPr>
        <w:t>formulare gli obiettivi</w:t>
      </w:r>
      <w:r>
        <w:rPr>
          <w:rFonts w:ascii="Titillium Web" w:eastAsia="Titillium Web" w:hAnsi="Titillium Web" w:cs="Titillium Web"/>
        </w:rPr>
        <w:t xml:space="preserve"> nei rispettivi settori per </w:t>
      </w:r>
      <w:r>
        <w:rPr>
          <w:rFonts w:ascii="Titillium Web" w:eastAsia="Titillium Web" w:hAnsi="Titillium Web" w:cs="Titillium Web"/>
          <w:highlight w:val="white"/>
        </w:rPr>
        <w:t xml:space="preserve">la realizzazione di un efficace processo di gestione del rischio di corruzione; </w:t>
      </w:r>
    </w:p>
    <w:p w:rsidR="00885929" w:rsidRDefault="007F469E">
      <w:pPr>
        <w:numPr>
          <w:ilvl w:val="0"/>
          <w:numId w:val="1"/>
        </w:numPr>
        <w:spacing w:after="200" w:line="240" w:lineRule="auto"/>
        <w:jc w:val="both"/>
        <w:rPr>
          <w:rFonts w:ascii="Calibri" w:eastAsia="Calibri" w:hAnsi="Calibri" w:cs="Calibri"/>
        </w:rPr>
      </w:pPr>
      <w:r>
        <w:rPr>
          <w:rFonts w:ascii="Titillium Web" w:eastAsia="Titillium Web" w:hAnsi="Titillium Web" w:cs="Titillium Web"/>
          <w:b/>
          <w:bCs/>
          <w:highlight w:val="white"/>
        </w:rPr>
        <w:t>partecipare attivamente</w:t>
      </w:r>
      <w:r>
        <w:rPr>
          <w:rFonts w:ascii="Titillium Web" w:eastAsia="Titillium Web" w:hAnsi="Titillium Web" w:cs="Titillium Web"/>
          <w:b/>
          <w:bCs/>
        </w:rPr>
        <w:t>,</w:t>
      </w:r>
      <w:r>
        <w:rPr>
          <w:rFonts w:ascii="Titillium Web" w:eastAsia="Titillium Web" w:hAnsi="Titillium Web" w:cs="Titillium Web"/>
        </w:rPr>
        <w:t xml:space="preserve"> </w:t>
      </w:r>
      <w:r>
        <w:rPr>
          <w:rFonts w:ascii="Titillium Web" w:eastAsia="Titillium Web" w:hAnsi="Titillium Web" w:cs="Titillium Web"/>
          <w:highlight w:val="white"/>
        </w:rPr>
        <w:t xml:space="preserve">coordinandosi con il RPCT, per fornire i dati e le informazioni necessarie per realizzare l’analisi del contesto, la valutazione, il trattamento del rischio e il monitoraggio delle misure; </w:t>
      </w:r>
    </w:p>
    <w:p w:rsidR="00885929" w:rsidRDefault="007F469E">
      <w:pPr>
        <w:numPr>
          <w:ilvl w:val="0"/>
          <w:numId w:val="1"/>
        </w:numPr>
        <w:spacing w:after="200" w:line="240" w:lineRule="auto"/>
        <w:jc w:val="both"/>
        <w:rPr>
          <w:rFonts w:ascii="Calibri" w:eastAsia="Calibri" w:hAnsi="Calibri" w:cs="Calibri"/>
        </w:rPr>
      </w:pPr>
      <w:r>
        <w:rPr>
          <w:rFonts w:ascii="Titillium Web" w:eastAsia="Titillium Web" w:hAnsi="Titillium Web" w:cs="Titillium Web"/>
          <w:b/>
          <w:bCs/>
          <w:highlight w:val="white"/>
        </w:rPr>
        <w:t>curare lo sviluppo delle proprie competenze in materia di gestione del rischio</w:t>
      </w:r>
      <w:r>
        <w:rPr>
          <w:rFonts w:ascii="Titillium Web" w:eastAsia="Titillium Web" w:hAnsi="Titillium Web" w:cs="Titillium Web"/>
          <w:highlight w:val="white"/>
        </w:rPr>
        <w:t xml:space="preserve"> di corruzione e </w:t>
      </w:r>
      <w:r>
        <w:rPr>
          <w:rFonts w:ascii="Titillium Web" w:eastAsia="Titillium Web" w:hAnsi="Titillium Web" w:cs="Titillium Web"/>
          <w:b/>
          <w:bCs/>
          <w:highlight w:val="white"/>
        </w:rPr>
        <w:t>promuovere la formazione dei dipendenti assegnati</w:t>
      </w:r>
      <w:r>
        <w:rPr>
          <w:rFonts w:ascii="Titillium Web" w:eastAsia="Titillium Web" w:hAnsi="Titillium Web" w:cs="Titillium Web"/>
        </w:rPr>
        <w:t xml:space="preserve"> e </w:t>
      </w:r>
      <w:r>
        <w:rPr>
          <w:rFonts w:ascii="Titillium Web" w:eastAsia="Titillium Web" w:hAnsi="Titillium Web" w:cs="Titillium Web"/>
          <w:highlight w:val="white"/>
        </w:rPr>
        <w:t xml:space="preserve">la diffusione di una cultura organizzativa basata sull’integrità; </w:t>
      </w:r>
    </w:p>
    <w:p w:rsidR="00885929" w:rsidRDefault="007F469E">
      <w:pPr>
        <w:numPr>
          <w:ilvl w:val="0"/>
          <w:numId w:val="1"/>
        </w:numPr>
        <w:spacing w:after="200" w:line="240" w:lineRule="auto"/>
        <w:jc w:val="both"/>
        <w:rPr>
          <w:rFonts w:ascii="Calibri" w:eastAsia="Calibri" w:hAnsi="Calibri" w:cs="Calibri"/>
        </w:rPr>
      </w:pPr>
      <w:r>
        <w:rPr>
          <w:rFonts w:ascii="Titillium Web" w:eastAsia="Titillium Web" w:hAnsi="Titillium Web" w:cs="Titillium Web"/>
          <w:b/>
          <w:bCs/>
          <w:highlight w:val="white"/>
        </w:rPr>
        <w:t>assumersi la responsabilità dell’attuazione delle misure di propria competenza programmate nel PTPCT</w:t>
      </w:r>
      <w:r>
        <w:rPr>
          <w:rFonts w:ascii="Titillium Web" w:eastAsia="Titillium Web" w:hAnsi="Titillium Web" w:cs="Titillium Web"/>
          <w:highlight w:val="white"/>
        </w:rPr>
        <w:t xml:space="preserve"> e operare in maniera tale da creare le condizioni che consentano l’efficace attuazione delle stesse da parte del loro personale; </w:t>
      </w:r>
    </w:p>
    <w:p w:rsidR="00885929" w:rsidRDefault="007F469E">
      <w:pPr>
        <w:numPr>
          <w:ilvl w:val="0"/>
          <w:numId w:val="1"/>
        </w:numPr>
        <w:spacing w:after="200" w:line="240" w:lineRule="auto"/>
        <w:jc w:val="both"/>
        <w:rPr>
          <w:rFonts w:ascii="Titillium Web" w:eastAsia="Titillium Web" w:hAnsi="Titillium Web" w:cs="Titillium Web"/>
        </w:rPr>
      </w:pPr>
      <w:r>
        <w:rPr>
          <w:rFonts w:ascii="Titillium Web" w:eastAsia="Titillium Web" w:hAnsi="Titillium Web" w:cs="Titillium Web"/>
          <w:highlight w:val="white"/>
        </w:rPr>
        <w:t xml:space="preserve">tener conto, in sede di valutazione delle performance, del reale contributo apportato dai dipendenti all’attuazione del processo di gestione del rischio e del loro grado di collaborazione con il RPCT. </w:t>
      </w:r>
    </w:p>
    <w:p w:rsidR="00885929" w:rsidRDefault="007F469E">
      <w:pPr>
        <w:pStyle w:val="Titolo5"/>
      </w:pPr>
      <w:bookmarkStart w:id="27" w:name="_dkunay1zkzq0" w:colFirst="0" w:colLast="0"/>
      <w:bookmarkStart w:id="28" w:name="_oice2poo2gdw" w:colFirst="0" w:colLast="0"/>
      <w:bookmarkEnd w:id="27"/>
      <w:bookmarkEnd w:id="28"/>
      <w:r>
        <w:t>2.5 - Il personale dipendente</w:t>
      </w:r>
    </w:p>
    <w:p w:rsidR="00885929" w:rsidRDefault="007F469E">
      <w:p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Anche i restanti dipendenti comunali hanno tra i loro compiti quello di partecipare attivamente al processo di gestione del rischio e, in particolare, all</w:t>
      </w:r>
      <w:r>
        <w:rPr>
          <w:rFonts w:ascii="Titillium Web" w:eastAsia="Titillium Web" w:hAnsi="Titillium Web" w:cs="Titillium Web"/>
        </w:rPr>
        <w:t>’</w:t>
      </w:r>
      <w:r>
        <w:rPr>
          <w:rFonts w:ascii="Titillium Web" w:eastAsia="Titillium Web" w:hAnsi="Titillium Web" w:cs="Titillium Web"/>
          <w:highlight w:val="white"/>
        </w:rPr>
        <w:t xml:space="preserve">attuazione delle misure di prevenzione programmate nel PTPCT.  </w:t>
      </w:r>
    </w:p>
    <w:p w:rsidR="00885929" w:rsidRDefault="007F469E">
      <w:pPr>
        <w:spacing w:after="200" w:line="240" w:lineRule="auto"/>
        <w:jc w:val="both"/>
        <w:rPr>
          <w:rFonts w:ascii="Titillium Web" w:eastAsia="Titillium Web" w:hAnsi="Titillium Web" w:cs="Titillium Web"/>
          <w:highlight w:val="white"/>
        </w:rPr>
      </w:pPr>
      <w:r>
        <w:rPr>
          <w:rFonts w:ascii="Titillium Web" w:eastAsia="Titillium Web" w:hAnsi="Titillium Web" w:cs="Titillium Web"/>
        </w:rPr>
        <w:t xml:space="preserve">Dipendenti non apicali possono essere individuati - dai Responsabili PO/EQ - come “referenti” del settore per la </w:t>
      </w:r>
      <w:r>
        <w:rPr>
          <w:rFonts w:ascii="Titillium Web" w:eastAsia="Titillium Web" w:hAnsi="Titillium Web" w:cs="Titillium Web"/>
          <w:b/>
          <w:bCs/>
          <w:highlight w:val="white"/>
        </w:rPr>
        <w:t>per la gestione delle attività e misure previste nel presente PTPCT.</w:t>
      </w:r>
    </w:p>
    <w:p w:rsidR="00885929" w:rsidRDefault="00885929">
      <w:pPr>
        <w:pStyle w:val="Titolo5"/>
      </w:pPr>
      <w:bookmarkStart w:id="29" w:name="_5s2lfeonbukn" w:colFirst="0" w:colLast="0"/>
      <w:bookmarkEnd w:id="29"/>
    </w:p>
    <w:p w:rsidR="00885929" w:rsidRDefault="007F469E">
      <w:pPr>
        <w:pStyle w:val="Titolo5"/>
      </w:pPr>
      <w:bookmarkStart w:id="30" w:name="_fwcwn6rbzri5" w:colFirst="0" w:colLast="0"/>
      <w:bookmarkEnd w:id="30"/>
      <w:r>
        <w:t>2.6 - L’Organismo indipendenti di Valutazione (OIV) o NDV</w:t>
      </w:r>
    </w:p>
    <w:p w:rsidR="00885929" w:rsidRDefault="007F469E">
      <w:p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L’Organo di valutazione (OIV o NDV) partecipa alle politiche di contrasto della corruzione e deve: </w:t>
      </w:r>
    </w:p>
    <w:p w:rsidR="00885929" w:rsidRDefault="007F469E">
      <w:pPr>
        <w:numPr>
          <w:ilvl w:val="0"/>
          <w:numId w:val="6"/>
        </w:numPr>
        <w:spacing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lastRenderedPageBreak/>
        <w:t xml:space="preserve">offrire, nell’ambito delle proprie competenze specifiche, un supporto metodologico al RPCT e agli altri attori, con riferimento alla corretta attuazione del processo di gestione del rischio corruttivo; </w:t>
      </w:r>
    </w:p>
    <w:p w:rsidR="00885929" w:rsidRDefault="007F469E">
      <w:pPr>
        <w:numPr>
          <w:ilvl w:val="0"/>
          <w:numId w:val="6"/>
        </w:numPr>
        <w:spacing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fornire, qualora disponibili, dati e informazioni utili all’analisi del contesto (inclusa la rilevazione dei processi), alla valutazione e al trattamento dei rischi; </w:t>
      </w:r>
    </w:p>
    <w:p w:rsidR="00A25F44" w:rsidRPr="00A25F44" w:rsidRDefault="007F469E" w:rsidP="00A25F44">
      <w:pPr>
        <w:numPr>
          <w:ilvl w:val="0"/>
          <w:numId w:val="6"/>
        </w:numPr>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favorire l’integrazione metodologica tra il ciclo di gestione della performance e il ciclo di gestione del rischio corruttivo</w:t>
      </w:r>
      <w:r w:rsidR="00A25F44">
        <w:rPr>
          <w:rFonts w:ascii="Titillium Web" w:eastAsia="Titillium Web" w:hAnsi="Titillium Web" w:cs="Titillium Web"/>
          <w:highlight w:val="white"/>
        </w:rPr>
        <w:t xml:space="preserve">. </w:t>
      </w:r>
    </w:p>
    <w:p w:rsidR="00885929" w:rsidRPr="00DE0493"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highlight w:val="white"/>
        </w:rPr>
        <w:t xml:space="preserve">Il RPCT può avvalersi delle strutture di vigilanza ed audit interno, laddove presenti, per </w:t>
      </w:r>
      <w:r>
        <w:rPr>
          <w:rFonts w:ascii="Titillium Web" w:eastAsia="Titillium Web" w:hAnsi="Titillium Web" w:cs="Titillium Web"/>
          <w:b/>
          <w:bCs/>
          <w:highlight w:val="white"/>
        </w:rPr>
        <w:t>attuare il sistema di monitoraggio del PTPCT</w:t>
      </w:r>
      <w:r>
        <w:rPr>
          <w:rFonts w:ascii="Titillium Web" w:eastAsia="Titillium Web" w:hAnsi="Titillium Web" w:cs="Titillium Web"/>
          <w:highlight w:val="white"/>
        </w:rPr>
        <w:t xml:space="preserve">, richiedendo alla Giunta il supporto di queste strutture per realizzare le attività di verifica (audit) sull’attuazione e l’idoneità delle misure di trattamento del </w:t>
      </w:r>
      <w:r w:rsidRPr="00DE0493">
        <w:rPr>
          <w:rFonts w:ascii="Titillium Web" w:eastAsia="Titillium Web" w:hAnsi="Titillium Web" w:cs="Titillium Web"/>
        </w:rPr>
        <w:t xml:space="preserve">rischio;  </w:t>
      </w:r>
    </w:p>
    <w:p w:rsidR="00885929" w:rsidRDefault="00A25F44">
      <w:pPr>
        <w:spacing w:after="200" w:line="240" w:lineRule="auto"/>
        <w:jc w:val="both"/>
      </w:pPr>
      <w:r w:rsidRPr="00DE0493">
        <w:rPr>
          <w:rFonts w:ascii="Titillium Web" w:eastAsia="Titillium Web" w:hAnsi="Titillium Web" w:cs="Titillium Web"/>
        </w:rPr>
        <w:t xml:space="preserve">In merito si segnala che </w:t>
      </w:r>
      <w:proofErr w:type="spellStart"/>
      <w:r w:rsidRPr="00DE0493">
        <w:rPr>
          <w:rFonts w:ascii="Titillium Web" w:eastAsia="Titillium Web" w:hAnsi="Titillium Web" w:cs="Titillium Web"/>
        </w:rPr>
        <w:t>l</w:t>
      </w:r>
      <w:r w:rsidR="00DE0493" w:rsidRPr="00DE0493">
        <w:rPr>
          <w:rFonts w:ascii="Titillium Web" w:eastAsia="Titillium Web" w:hAnsi="Titillium Web" w:cs="Titillium Web"/>
        </w:rPr>
        <w:t>’Anac</w:t>
      </w:r>
      <w:proofErr w:type="spellEnd"/>
      <w:r w:rsidR="00DE0493" w:rsidRPr="00DE0493">
        <w:rPr>
          <w:rFonts w:ascii="Titillium Web" w:eastAsia="Titillium Web" w:hAnsi="Titillium Web" w:cs="Titillium Web"/>
        </w:rPr>
        <w:t xml:space="preserve"> con delibera n. 180 del 26 febbraio 2020, ha dichiarato non opportuna la concentrazione in un unico soggetto dei ruoli di Segretario Comunale e NDV, raccomandando di procedere alla revisione della composizione del Nucleo di Valutazione. </w:t>
      </w:r>
      <w:r w:rsidR="007F469E">
        <w:br w:type="page"/>
      </w:r>
    </w:p>
    <w:p w:rsidR="00885929" w:rsidRDefault="007F469E">
      <w:pPr>
        <w:pStyle w:val="Titolo4"/>
      </w:pPr>
      <w:bookmarkStart w:id="31" w:name="_cm5rdoi39s56" w:colFirst="0" w:colLast="0"/>
      <w:bookmarkEnd w:id="31"/>
      <w:r>
        <w:lastRenderedPageBreak/>
        <w:t>3. OBIETTIVI STRATEGICI DEL TRIENNIO 2026-28</w:t>
      </w:r>
    </w:p>
    <w:p w:rsidR="00885929" w:rsidRDefault="007F469E">
      <w:pPr>
        <w:pStyle w:val="Titolo5"/>
        <w:rPr>
          <w:sz w:val="22"/>
          <w:szCs w:val="22"/>
        </w:rPr>
      </w:pPr>
      <w:bookmarkStart w:id="32" w:name="_p5j5exfrs39c" w:colFirst="0" w:colLast="0"/>
      <w:bookmarkEnd w:id="32"/>
      <w:r>
        <w:rPr>
          <w:sz w:val="22"/>
          <w:szCs w:val="22"/>
        </w:rPr>
        <w:t xml:space="preserve">3.1 - DIGITALIZZAZIONE DEI PROCESSI/PROCEDIMENTI - IN GENERALE </w:t>
      </w:r>
    </w:p>
    <w:p w:rsidR="00885929" w:rsidRDefault="007F469E">
      <w:pPr>
        <w:spacing w:before="120" w:line="240" w:lineRule="auto"/>
        <w:jc w:val="both"/>
        <w:rPr>
          <w:rFonts w:ascii="Titillium Web" w:eastAsia="Titillium Web" w:hAnsi="Titillium Web" w:cs="Titillium Web"/>
        </w:rPr>
      </w:pPr>
      <w:r>
        <w:rPr>
          <w:rFonts w:ascii="Titillium Web" w:eastAsia="Titillium Web" w:hAnsi="Titillium Web" w:cs="Titillium Web"/>
          <w:b/>
          <w:bCs/>
        </w:rPr>
        <w:t>La graduale digitalizzazione dei procedimenti/processi dell’attività amministrativa è un</w:t>
      </w:r>
      <w:r w:rsidR="00967FA9">
        <w:rPr>
          <w:rFonts w:ascii="Titillium Web" w:eastAsia="Titillium Web" w:hAnsi="Titillium Web" w:cs="Titillium Web"/>
          <w:b/>
          <w:bCs/>
        </w:rPr>
        <w:t xml:space="preserve"> </w:t>
      </w:r>
      <w:r>
        <w:rPr>
          <w:rFonts w:ascii="Titillium Web" w:eastAsia="Titillium Web" w:hAnsi="Titillium Web" w:cs="Titillium Web"/>
          <w:b/>
          <w:bCs/>
        </w:rPr>
        <w:t>obiettivo strategico fondamentale</w:t>
      </w:r>
      <w:r>
        <w:rPr>
          <w:rFonts w:ascii="Titillium Web" w:eastAsia="Titillium Web" w:hAnsi="Titillium Web" w:cs="Titillium Web"/>
        </w:rPr>
        <w:t xml:space="preserve"> che consente il raggiungimento di obiettivi importanti per il buon funzionamento del Comune e per la qualità dei servizi forniti ai cittadini. </w:t>
      </w:r>
    </w:p>
    <w:p w:rsidR="00885929" w:rsidRDefault="007F469E">
      <w:pPr>
        <w:spacing w:before="120" w:line="240" w:lineRule="auto"/>
        <w:jc w:val="both"/>
        <w:rPr>
          <w:rFonts w:ascii="Titillium Web" w:eastAsia="Titillium Web" w:hAnsi="Titillium Web" w:cs="Titillium Web"/>
        </w:rPr>
      </w:pPr>
      <w:r>
        <w:rPr>
          <w:rFonts w:ascii="Titillium Web" w:eastAsia="Titillium Web" w:hAnsi="Titillium Web" w:cs="Titillium Web"/>
        </w:rPr>
        <w:t xml:space="preserve">In particolare, con la digitalizzazione si può ottenere: </w:t>
      </w:r>
    </w:p>
    <w:p w:rsidR="00885929" w:rsidRDefault="007F469E">
      <w:pPr>
        <w:numPr>
          <w:ilvl w:val="0"/>
          <w:numId w:val="11"/>
        </w:numPr>
        <w:spacing w:before="120" w:line="240" w:lineRule="auto"/>
        <w:jc w:val="both"/>
        <w:rPr>
          <w:rFonts w:ascii="Titillium Web" w:eastAsia="Titillium Web" w:hAnsi="Titillium Web" w:cs="Titillium Web"/>
        </w:rPr>
      </w:pPr>
      <w:r>
        <w:rPr>
          <w:rFonts w:ascii="Titillium Web" w:eastAsia="Titillium Web" w:hAnsi="Titillium Web" w:cs="Titillium Web"/>
        </w:rPr>
        <w:t xml:space="preserve">semplificazione e standardizzazione delle procedure; </w:t>
      </w:r>
    </w:p>
    <w:p w:rsidR="00885929" w:rsidRDefault="007F469E">
      <w:pPr>
        <w:numPr>
          <w:ilvl w:val="0"/>
          <w:numId w:val="11"/>
        </w:numPr>
        <w:spacing w:line="240" w:lineRule="auto"/>
        <w:jc w:val="both"/>
        <w:rPr>
          <w:rFonts w:ascii="Titillium Web" w:eastAsia="Titillium Web" w:hAnsi="Titillium Web" w:cs="Titillium Web"/>
        </w:rPr>
      </w:pPr>
      <w:r>
        <w:rPr>
          <w:rFonts w:ascii="Titillium Web" w:eastAsia="Titillium Web" w:hAnsi="Titillium Web" w:cs="Titillium Web"/>
        </w:rPr>
        <w:t>risparmi in termini di tempi;</w:t>
      </w:r>
    </w:p>
    <w:p w:rsidR="00885929" w:rsidRDefault="007F469E">
      <w:pPr>
        <w:numPr>
          <w:ilvl w:val="0"/>
          <w:numId w:val="11"/>
        </w:numPr>
        <w:spacing w:line="240" w:lineRule="auto"/>
        <w:jc w:val="both"/>
        <w:rPr>
          <w:rFonts w:ascii="Titillium Web" w:eastAsia="Titillium Web" w:hAnsi="Titillium Web" w:cs="Titillium Web"/>
        </w:rPr>
      </w:pPr>
      <w:r>
        <w:rPr>
          <w:rFonts w:ascii="Titillium Web" w:eastAsia="Titillium Web" w:hAnsi="Titillium Web" w:cs="Titillium Web"/>
        </w:rPr>
        <w:t>monitoraggio dei diversi procedimenti;</w:t>
      </w:r>
    </w:p>
    <w:p w:rsidR="00885929" w:rsidRDefault="007F469E">
      <w:pPr>
        <w:numPr>
          <w:ilvl w:val="0"/>
          <w:numId w:val="11"/>
        </w:numPr>
        <w:spacing w:line="240" w:lineRule="auto"/>
        <w:jc w:val="both"/>
        <w:rPr>
          <w:rFonts w:ascii="Titillium Web" w:eastAsia="Titillium Web" w:hAnsi="Titillium Web" w:cs="Titillium Web"/>
        </w:rPr>
      </w:pPr>
      <w:r>
        <w:rPr>
          <w:rFonts w:ascii="Titillium Web" w:eastAsia="Titillium Web" w:hAnsi="Titillium Web" w:cs="Titillium Web"/>
        </w:rPr>
        <w:t xml:space="preserve">accesso ai servizi on line dai cittadini; </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Tramite la digitalizzazione si aumenta il controllo dell’attività amministrativa e gestionale che rimane “tracciata”, diminuendo la possibilità di “deviazioni” rispetto al procedimento stabilito.</w:t>
      </w:r>
    </w:p>
    <w:p w:rsidR="00885929" w:rsidRDefault="007F469E">
      <w:pPr>
        <w:spacing w:before="120" w:line="240" w:lineRule="auto"/>
        <w:jc w:val="both"/>
        <w:rPr>
          <w:rFonts w:ascii="Titillium Web" w:eastAsia="Titillium Web" w:hAnsi="Titillium Web" w:cs="Titillium Web"/>
        </w:rPr>
      </w:pPr>
      <w:r>
        <w:rPr>
          <w:rFonts w:ascii="Titillium Web" w:eastAsia="Titillium Web" w:hAnsi="Titillium Web" w:cs="Titillium Web"/>
        </w:rPr>
        <w:t xml:space="preserve">La trasformazione digitale della P.A. è la base di partenza indispensabile per poter garantire e favorire: </w:t>
      </w:r>
    </w:p>
    <w:p w:rsidR="00885929" w:rsidRDefault="007F469E">
      <w:pPr>
        <w:numPr>
          <w:ilvl w:val="0"/>
          <w:numId w:val="14"/>
        </w:numPr>
        <w:spacing w:before="120" w:line="240" w:lineRule="auto"/>
        <w:jc w:val="both"/>
        <w:rPr>
          <w:rFonts w:ascii="Titillium Web" w:eastAsia="Titillium Web" w:hAnsi="Titillium Web" w:cs="Titillium Web"/>
        </w:rPr>
      </w:pPr>
      <w:r>
        <w:rPr>
          <w:rFonts w:ascii="Titillium Web" w:eastAsia="Titillium Web" w:hAnsi="Titillium Web" w:cs="Titillium Web"/>
        </w:rPr>
        <w:t>la trasparenza dell’attività amministrativa e gestionale del Comune;</w:t>
      </w:r>
    </w:p>
    <w:p w:rsidR="00885929" w:rsidRDefault="007F469E">
      <w:pPr>
        <w:numPr>
          <w:ilvl w:val="0"/>
          <w:numId w:val="14"/>
        </w:numPr>
        <w:spacing w:line="240" w:lineRule="auto"/>
        <w:jc w:val="both"/>
        <w:rPr>
          <w:rFonts w:ascii="Titillium Web" w:eastAsia="Titillium Web" w:hAnsi="Titillium Web" w:cs="Titillium Web"/>
        </w:rPr>
      </w:pPr>
      <w:r>
        <w:rPr>
          <w:rFonts w:ascii="Titillium Web" w:eastAsia="Titillium Web" w:hAnsi="Titillium Web" w:cs="Titillium Web"/>
        </w:rPr>
        <w:t>il contrasto e la prevenzione dei fenomeni corruttivi, di mala-amministrazione e di conflitto di interessi;</w:t>
      </w:r>
    </w:p>
    <w:p w:rsidR="00885929" w:rsidRDefault="007F469E">
      <w:pPr>
        <w:numPr>
          <w:ilvl w:val="0"/>
          <w:numId w:val="14"/>
        </w:numPr>
        <w:spacing w:line="240" w:lineRule="auto"/>
        <w:jc w:val="both"/>
        <w:rPr>
          <w:rFonts w:ascii="Titillium Web" w:eastAsia="Titillium Web" w:hAnsi="Titillium Web" w:cs="Titillium Web"/>
        </w:rPr>
      </w:pPr>
      <w:r>
        <w:rPr>
          <w:rFonts w:ascii="Titillium Web" w:eastAsia="Titillium Web" w:hAnsi="Titillium Web" w:cs="Titillium Web"/>
        </w:rPr>
        <w:t>lo sviluppo della cultura della legalità e dell’integrità nella gestione del bene pubblico;</w:t>
      </w:r>
    </w:p>
    <w:p w:rsidR="00885929" w:rsidRDefault="007F469E">
      <w:pPr>
        <w:numPr>
          <w:ilvl w:val="0"/>
          <w:numId w:val="14"/>
        </w:numPr>
        <w:spacing w:line="240" w:lineRule="auto"/>
        <w:jc w:val="both"/>
        <w:rPr>
          <w:rFonts w:ascii="Titillium Web" w:eastAsia="Titillium Web" w:hAnsi="Titillium Web" w:cs="Titillium Web"/>
        </w:rPr>
      </w:pPr>
      <w:r>
        <w:rPr>
          <w:rFonts w:ascii="Titillium Web" w:eastAsia="Titillium Web" w:hAnsi="Titillium Web" w:cs="Titillium Web"/>
        </w:rPr>
        <w:t>la garanzia dei diritti e dei servizi dei cittadini;</w:t>
      </w:r>
    </w:p>
    <w:p w:rsidR="00885929" w:rsidRDefault="007F469E">
      <w:pPr>
        <w:numPr>
          <w:ilvl w:val="0"/>
          <w:numId w:val="14"/>
        </w:numPr>
        <w:spacing w:after="200" w:line="240" w:lineRule="auto"/>
        <w:jc w:val="both"/>
        <w:rPr>
          <w:rFonts w:ascii="Titillium Web" w:eastAsia="Titillium Web" w:hAnsi="Titillium Web" w:cs="Titillium Web"/>
        </w:rPr>
      </w:pPr>
      <w:r>
        <w:rPr>
          <w:rFonts w:ascii="Titillium Web" w:eastAsia="Titillium Web" w:hAnsi="Titillium Web" w:cs="Titillium Web"/>
        </w:rPr>
        <w:t>la promozione della partecipazione;</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Tale obiettivo strategico della DIGITALIZZAZIONE è stato accelerato a partire dall’anno 2024, grazie all’</w:t>
      </w:r>
      <w:r>
        <w:rPr>
          <w:rFonts w:ascii="Titillium Web" w:eastAsia="Titillium Web" w:hAnsi="Titillium Web" w:cs="Titillium Web"/>
          <w:b/>
          <w:bCs/>
        </w:rPr>
        <w:t>utilizzo dei FONDI PNRR x la digitalizzazione (padigitale2026)</w:t>
      </w:r>
      <w:r w:rsidR="001A53DB">
        <w:rPr>
          <w:rFonts w:ascii="Titillium Web" w:eastAsia="Titillium Web" w:hAnsi="Titillium Web" w:cs="Titillium Web"/>
          <w:b/>
          <w:bCs/>
        </w:rPr>
        <w:t>, come meglio dettagliati nella sezione 3 del PIAO</w:t>
      </w:r>
      <w:r>
        <w:rPr>
          <w:rFonts w:ascii="Titillium Web" w:eastAsia="Titillium Web" w:hAnsi="Titillium Web" w:cs="Titillium Web"/>
        </w:rPr>
        <w:t xml:space="preserve">. </w:t>
      </w:r>
    </w:p>
    <w:p w:rsidR="002E4C0F" w:rsidRDefault="007F469E">
      <w:pPr>
        <w:spacing w:before="120" w:after="200" w:line="240" w:lineRule="auto"/>
        <w:jc w:val="both"/>
        <w:rPr>
          <w:rFonts w:ascii="Titillium Web" w:eastAsia="Titillium Web" w:hAnsi="Titillium Web" w:cs="Titillium Web"/>
        </w:rPr>
      </w:pPr>
      <w:r w:rsidRPr="00DE0493">
        <w:rPr>
          <w:rFonts w:ascii="Titillium Web" w:eastAsia="Titillium Web" w:hAnsi="Titillium Web" w:cs="Titillium Web"/>
        </w:rPr>
        <w:t>Ne</w:t>
      </w:r>
      <w:r w:rsidR="002E4C0F">
        <w:rPr>
          <w:rFonts w:ascii="Titillium Web" w:eastAsia="Titillium Web" w:hAnsi="Titillium Web" w:cs="Titillium Web"/>
        </w:rPr>
        <w:t xml:space="preserve">gli </w:t>
      </w:r>
      <w:r w:rsidRPr="00DE0493">
        <w:rPr>
          <w:rFonts w:ascii="Titillium Web" w:eastAsia="Titillium Web" w:hAnsi="Titillium Web" w:cs="Titillium Web"/>
          <w:u w:val="single"/>
        </w:rPr>
        <w:t>ann</w:t>
      </w:r>
      <w:r w:rsidR="002E4C0F">
        <w:rPr>
          <w:rFonts w:ascii="Titillium Web" w:eastAsia="Titillium Web" w:hAnsi="Titillium Web" w:cs="Titillium Web"/>
          <w:u w:val="single"/>
        </w:rPr>
        <w:t>i</w:t>
      </w:r>
      <w:r w:rsidRPr="00DE0493">
        <w:rPr>
          <w:rFonts w:ascii="Titillium Web" w:eastAsia="Titillium Web" w:hAnsi="Titillium Web" w:cs="Titillium Web"/>
          <w:u w:val="single"/>
        </w:rPr>
        <w:t xml:space="preserve"> </w:t>
      </w:r>
      <w:r w:rsidR="002E4C0F">
        <w:rPr>
          <w:rFonts w:ascii="Titillium Web" w:eastAsia="Titillium Web" w:hAnsi="Titillium Web" w:cs="Titillium Web"/>
          <w:u w:val="single"/>
        </w:rPr>
        <w:t>2023/</w:t>
      </w:r>
      <w:r w:rsidRPr="00DE0493">
        <w:rPr>
          <w:rFonts w:ascii="Titillium Web" w:eastAsia="Titillium Web" w:hAnsi="Titillium Web" w:cs="Titillium Web"/>
          <w:u w:val="single"/>
        </w:rPr>
        <w:t>202</w:t>
      </w:r>
      <w:r w:rsidR="00DE0493">
        <w:rPr>
          <w:rFonts w:ascii="Titillium Web" w:eastAsia="Titillium Web" w:hAnsi="Titillium Web" w:cs="Titillium Web"/>
          <w:u w:val="single"/>
        </w:rPr>
        <w:t>4</w:t>
      </w:r>
      <w:r w:rsidR="002E4C0F">
        <w:rPr>
          <w:rFonts w:ascii="Titillium Web" w:eastAsia="Titillium Web" w:hAnsi="Titillium Web" w:cs="Titillium Web"/>
          <w:u w:val="single"/>
        </w:rPr>
        <w:t>/2025</w:t>
      </w:r>
      <w:r w:rsidR="00DE0493">
        <w:rPr>
          <w:rFonts w:ascii="Titillium Web" w:eastAsia="Titillium Web" w:hAnsi="Titillium Web" w:cs="Titillium Web"/>
          <w:u w:val="single"/>
        </w:rPr>
        <w:t xml:space="preserve"> </w:t>
      </w:r>
      <w:r w:rsidRPr="00DE0493">
        <w:rPr>
          <w:rFonts w:ascii="Titillium Web" w:eastAsia="Titillium Web" w:hAnsi="Titillium Web" w:cs="Titillium Web"/>
        </w:rPr>
        <w:t>si è pervenuti</w:t>
      </w:r>
      <w:r w:rsidR="002E4C0F">
        <w:rPr>
          <w:rFonts w:ascii="Titillium Web" w:eastAsia="Titillium Web" w:hAnsi="Titillium Web" w:cs="Titillium Web"/>
        </w:rPr>
        <w:t>:</w:t>
      </w:r>
    </w:p>
    <w:p w:rsidR="002E4C0F" w:rsidRPr="002E4C0F" w:rsidRDefault="002E4C0F">
      <w:pPr>
        <w:spacing w:before="120" w:after="200" w:line="240" w:lineRule="auto"/>
        <w:jc w:val="both"/>
        <w:rPr>
          <w:rFonts w:ascii="Titillium Web" w:eastAsia="Titillium Web" w:hAnsi="Titillium Web" w:cs="Titillium Web"/>
          <w:strike/>
        </w:rPr>
      </w:pPr>
      <w:r>
        <w:rPr>
          <w:rFonts w:ascii="Titillium Web" w:eastAsia="Titillium Web" w:hAnsi="Titillium Web" w:cs="Titillium Web"/>
        </w:rPr>
        <w:t>-</w:t>
      </w:r>
      <w:r w:rsidRPr="002E4C0F">
        <w:t xml:space="preserve"> </w:t>
      </w:r>
      <w:r>
        <w:t xml:space="preserve"> </w:t>
      </w:r>
      <w:r w:rsidRPr="002E4C0F">
        <w:rPr>
          <w:rFonts w:ascii="Titillium Web" w:eastAsia="Titillium Web" w:hAnsi="Titillium Web" w:cs="Titillium Web"/>
        </w:rPr>
        <w:t>al nuovo SITO WEB COMUNAL</w:t>
      </w:r>
      <w:r w:rsidRPr="006E6725">
        <w:rPr>
          <w:rFonts w:ascii="Titillium Web" w:eastAsia="Titillium Web" w:hAnsi="Titillium Web" w:cs="Titillium Web"/>
        </w:rPr>
        <w:t>E;</w:t>
      </w:r>
    </w:p>
    <w:p w:rsidR="002E4C0F" w:rsidRDefault="002E4C0F">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  </w:t>
      </w:r>
      <w:r w:rsidR="002D4C46">
        <w:rPr>
          <w:rFonts w:ascii="Titillium Web" w:eastAsia="Titillium Web" w:hAnsi="Titillium Web" w:cs="Titillium Web"/>
        </w:rPr>
        <w:t>all’</w:t>
      </w:r>
      <w:r>
        <w:rPr>
          <w:rFonts w:ascii="Titillium Web" w:eastAsia="Titillium Web" w:hAnsi="Titillium Web" w:cs="Titillium Web"/>
        </w:rPr>
        <w:t>attivazione sportello telematico;</w:t>
      </w:r>
    </w:p>
    <w:p w:rsidR="002E4C0F" w:rsidRDefault="002E4C0F" w:rsidP="002E4C0F">
      <w:pPr>
        <w:spacing w:before="120" w:after="200" w:line="240" w:lineRule="auto"/>
        <w:jc w:val="both"/>
        <w:rPr>
          <w:rFonts w:ascii="Titillium Web" w:eastAsia="Titillium Web" w:hAnsi="Titillium Web" w:cs="Titillium Web"/>
        </w:rPr>
      </w:pPr>
      <w:r w:rsidRPr="002E4C0F">
        <w:rPr>
          <w:rFonts w:ascii="Titillium Web" w:eastAsia="Titillium Web" w:hAnsi="Titillium Web" w:cs="Titillium Web"/>
        </w:rPr>
        <w:t>-</w:t>
      </w:r>
      <w:r>
        <w:rPr>
          <w:rFonts w:ascii="Titillium Web" w:eastAsia="Titillium Web" w:hAnsi="Titillium Web" w:cs="Titillium Web"/>
        </w:rPr>
        <w:t xml:space="preserve">  al</w:t>
      </w:r>
      <w:r w:rsidRPr="002E4C0F">
        <w:rPr>
          <w:rFonts w:ascii="Titillium Web" w:eastAsia="Titillium Web" w:hAnsi="Titillium Web" w:cs="Titillium Web"/>
        </w:rPr>
        <w:t xml:space="preserve"> SERVIZI ON LINE di PAGO.PA;</w:t>
      </w:r>
    </w:p>
    <w:p w:rsidR="002E4C0F" w:rsidRPr="002E4C0F" w:rsidRDefault="002E4C0F" w:rsidP="002E4C0F">
      <w:pPr>
        <w:spacing w:before="120" w:after="200" w:line="240" w:lineRule="auto"/>
        <w:jc w:val="both"/>
        <w:rPr>
          <w:rFonts w:ascii="Titillium Web" w:eastAsia="Titillium Web" w:hAnsi="Titillium Web" w:cs="Titillium Web"/>
        </w:rPr>
      </w:pPr>
      <w:r>
        <w:rPr>
          <w:rFonts w:ascii="Titillium Web" w:eastAsia="Titillium Web" w:hAnsi="Titillium Web" w:cs="Titillium Web"/>
        </w:rPr>
        <w:t>-  al</w:t>
      </w:r>
      <w:r w:rsidR="002D4C46">
        <w:rPr>
          <w:rFonts w:ascii="Titillium Web" w:eastAsia="Titillium Web" w:hAnsi="Titillium Web" w:cs="Titillium Web"/>
        </w:rPr>
        <w:t>l’attivazione del</w:t>
      </w:r>
      <w:r>
        <w:rPr>
          <w:rFonts w:ascii="Titillium Web" w:eastAsia="Titillium Web" w:hAnsi="Titillium Web" w:cs="Titillium Web"/>
        </w:rPr>
        <w:t xml:space="preserve"> servizio </w:t>
      </w:r>
      <w:r w:rsidR="002D4C46">
        <w:rPr>
          <w:rFonts w:ascii="Titillium Web" w:eastAsia="Titillium Web" w:hAnsi="Titillium Web" w:cs="Titillium Web"/>
        </w:rPr>
        <w:t>S</w:t>
      </w:r>
      <w:r>
        <w:rPr>
          <w:rFonts w:ascii="Titillium Web" w:eastAsia="Titillium Web" w:hAnsi="Titillium Web" w:cs="Titillium Web"/>
        </w:rPr>
        <w:t xml:space="preserve">PID e CIE; </w:t>
      </w:r>
    </w:p>
    <w:p w:rsidR="002E4C0F" w:rsidRPr="006E6725" w:rsidRDefault="002E4C0F" w:rsidP="002E4C0F">
      <w:pPr>
        <w:spacing w:before="120" w:after="200" w:line="240" w:lineRule="auto"/>
        <w:jc w:val="both"/>
        <w:rPr>
          <w:rFonts w:ascii="Titillium Web" w:eastAsia="Titillium Web" w:hAnsi="Titillium Web" w:cs="Titillium Web"/>
        </w:rPr>
      </w:pPr>
      <w:r w:rsidRPr="006E6725">
        <w:rPr>
          <w:rFonts w:ascii="Titillium Web" w:eastAsia="Titillium Web" w:hAnsi="Titillium Web" w:cs="Titillium Web"/>
        </w:rPr>
        <w:t>-  all’adesione alla Piattaforma Notifiche Digitali (PND);</w:t>
      </w:r>
    </w:p>
    <w:p w:rsidR="002E4C0F" w:rsidRPr="006E6725" w:rsidRDefault="002E4C0F" w:rsidP="002E4C0F">
      <w:pPr>
        <w:spacing w:before="120" w:after="200" w:line="240" w:lineRule="auto"/>
        <w:jc w:val="both"/>
        <w:rPr>
          <w:rFonts w:ascii="Titillium Web" w:eastAsia="Titillium Web" w:hAnsi="Titillium Web" w:cs="Titillium Web"/>
        </w:rPr>
      </w:pPr>
      <w:r w:rsidRPr="006E6725">
        <w:rPr>
          <w:rFonts w:ascii="Titillium Web" w:eastAsia="Titillium Web" w:hAnsi="Titillium Web" w:cs="Titillium Web"/>
        </w:rPr>
        <w:t xml:space="preserve">- all’adesione allo Stato Civile Digitale (ANSCU). </w:t>
      </w:r>
    </w:p>
    <w:p w:rsidR="00885929" w:rsidRPr="006E6725" w:rsidRDefault="007F469E">
      <w:pPr>
        <w:spacing w:before="120" w:after="200" w:line="240" w:lineRule="auto"/>
        <w:jc w:val="both"/>
        <w:rPr>
          <w:rFonts w:ascii="Titillium Web" w:eastAsia="Titillium Web" w:hAnsi="Titillium Web" w:cs="Titillium Web"/>
        </w:rPr>
      </w:pPr>
      <w:r w:rsidRPr="006E6725">
        <w:rPr>
          <w:rFonts w:ascii="Titillium Web" w:eastAsia="Titillium Web" w:hAnsi="Titillium Web" w:cs="Titillium Web"/>
        </w:rPr>
        <w:t xml:space="preserve">Si proseguirà nel </w:t>
      </w:r>
      <w:r w:rsidRPr="006E6725">
        <w:rPr>
          <w:rFonts w:ascii="Titillium Web" w:eastAsia="Titillium Web" w:hAnsi="Titillium Web" w:cs="Titillium Web"/>
          <w:u w:val="single"/>
        </w:rPr>
        <w:t>biennio 2026-27</w:t>
      </w:r>
      <w:r w:rsidRPr="006E6725">
        <w:rPr>
          <w:rFonts w:ascii="Titillium Web" w:eastAsia="Titillium Web" w:hAnsi="Titillium Web" w:cs="Titillium Web"/>
        </w:rPr>
        <w:t>, a condizione che si possa effettivamente realizzare:</w:t>
      </w:r>
    </w:p>
    <w:p w:rsidR="00885929" w:rsidRPr="006E6725" w:rsidRDefault="007F469E">
      <w:pPr>
        <w:numPr>
          <w:ilvl w:val="0"/>
          <w:numId w:val="18"/>
        </w:numPr>
        <w:spacing w:after="200" w:line="240" w:lineRule="auto"/>
        <w:jc w:val="both"/>
        <w:rPr>
          <w:rFonts w:ascii="Titillium Web" w:eastAsia="Titillium Web" w:hAnsi="Titillium Web" w:cs="Titillium Web"/>
        </w:rPr>
      </w:pPr>
      <w:r w:rsidRPr="006E6725">
        <w:rPr>
          <w:rFonts w:ascii="Titillium Web" w:eastAsia="Titillium Web" w:hAnsi="Titillium Web" w:cs="Titillium Web"/>
        </w:rPr>
        <w:lastRenderedPageBreak/>
        <w:t>una effettiva messa a disposizione di risorse umane e strumentali (a favore del RTD-comunale, del Segretario/RPCT e dei Responsabili Apicali) al fine di farli operare al meglio per il Comune, in relazione all’utilizzo dei finanziamenti per il PNRR-DIGITALE e mettere a regime il corretto funzionamento</w:t>
      </w:r>
      <w:r w:rsidR="00046AB6" w:rsidRPr="006E6725">
        <w:rPr>
          <w:rFonts w:ascii="Titillium Web" w:eastAsia="Titillium Web" w:hAnsi="Titillium Web" w:cs="Titillium Web"/>
        </w:rPr>
        <w:t xml:space="preserve"> ovvero miglioramento</w:t>
      </w:r>
      <w:r w:rsidRPr="006E6725">
        <w:rPr>
          <w:rFonts w:ascii="Titillium Web" w:eastAsia="Titillium Web" w:hAnsi="Titillium Web" w:cs="Titillium Web"/>
        </w:rPr>
        <w:t xml:space="preserve"> (elenco non esaustivo): </w:t>
      </w:r>
    </w:p>
    <w:p w:rsidR="00885929" w:rsidRPr="006E6725" w:rsidRDefault="007F469E">
      <w:pPr>
        <w:numPr>
          <w:ilvl w:val="0"/>
          <w:numId w:val="17"/>
        </w:numPr>
        <w:spacing w:after="200" w:line="240" w:lineRule="auto"/>
        <w:jc w:val="both"/>
        <w:rPr>
          <w:rFonts w:ascii="Titillium Web" w:eastAsia="Titillium Web" w:hAnsi="Titillium Web" w:cs="Titillium Web"/>
        </w:rPr>
      </w:pPr>
      <w:r w:rsidRPr="006E6725">
        <w:rPr>
          <w:rFonts w:ascii="Titillium Web" w:eastAsia="Titillium Web" w:hAnsi="Titillium Web" w:cs="Titillium Web"/>
        </w:rPr>
        <w:t>della sezione di AMMINISTRAZIONE TRASPARENTE, con pubblicazione dei dati e tabelle come previsto dal Decreto 33/2013 (</w:t>
      </w:r>
      <w:r w:rsidRPr="006E6725">
        <w:rPr>
          <w:rFonts w:ascii="Titillium Web" w:eastAsia="Titillium Web" w:hAnsi="Titillium Web" w:cs="Titillium Web"/>
          <w:i/>
          <w:iCs/>
          <w:u w:val="single"/>
        </w:rPr>
        <w:t>Tabella C - OBBLIGHI TRASPARENZA</w:t>
      </w:r>
      <w:r w:rsidR="00046AB6" w:rsidRPr="006E6725">
        <w:rPr>
          <w:rFonts w:ascii="Titillium Web" w:eastAsia="Titillium Web" w:hAnsi="Titillium Web" w:cs="Titillium Web"/>
          <w:i/>
          <w:iCs/>
          <w:u w:val="single"/>
        </w:rPr>
        <w:t xml:space="preserve"> alla luce della Delibera </w:t>
      </w:r>
      <w:proofErr w:type="spellStart"/>
      <w:r w:rsidR="00046AB6" w:rsidRPr="006E6725">
        <w:rPr>
          <w:rFonts w:ascii="Titillium Web" w:eastAsia="Titillium Web" w:hAnsi="Titillium Web" w:cs="Titillium Web"/>
          <w:i/>
          <w:iCs/>
          <w:u w:val="single"/>
        </w:rPr>
        <w:t>Anac</w:t>
      </w:r>
      <w:proofErr w:type="spellEnd"/>
      <w:r w:rsidR="00046AB6" w:rsidRPr="006E6725">
        <w:rPr>
          <w:rFonts w:ascii="Titillium Web" w:eastAsia="Titillium Web" w:hAnsi="Titillium Web" w:cs="Titillium Web"/>
          <w:i/>
          <w:iCs/>
          <w:u w:val="single"/>
        </w:rPr>
        <w:t xml:space="preserve"> n. 495 del 25/09/2024</w:t>
      </w:r>
      <w:r w:rsidRPr="006E6725">
        <w:rPr>
          <w:rFonts w:ascii="Titillium Web" w:eastAsia="Titillium Web" w:hAnsi="Titillium Web" w:cs="Titillium Web"/>
        </w:rPr>
        <w:t>);</w:t>
      </w:r>
    </w:p>
    <w:p w:rsidR="00885929" w:rsidRDefault="007F469E">
      <w:pPr>
        <w:pStyle w:val="Titolo5"/>
        <w:rPr>
          <w:sz w:val="22"/>
          <w:szCs w:val="22"/>
        </w:rPr>
      </w:pPr>
      <w:bookmarkStart w:id="33" w:name="_i4zhooj8skts" w:colFirst="0" w:colLast="0"/>
      <w:bookmarkEnd w:id="33"/>
      <w:r>
        <w:rPr>
          <w:sz w:val="22"/>
          <w:szCs w:val="22"/>
        </w:rPr>
        <w:t xml:space="preserve">3.2 - DIGITALIZZAZIONE DEL CICLO DI VITA DEI CONTRATTI DI APPALTO </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La Digitalizzazione dei contratti di appalto è un obiettivo strategico per il triennio di cui al presente Piano ed è in totale raccordo con tutto quanto precisato nel punto precedente (riguardante la digitalizzazione in generale dei servizi comunali). </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Esso viene comunque appositamente estrapolato, in quanto diventa obiettivo fondamentale primario-urgente, stante l’obbligo normativo scattato dal gennaio 2024 a seguito delle delibere ANAC di seguito indicate (elenco non esaustivo):</w:t>
      </w:r>
    </w:p>
    <w:p w:rsidR="00885929" w:rsidRDefault="007F469E">
      <w:pPr>
        <w:widowControl w:val="0"/>
        <w:numPr>
          <w:ilvl w:val="0"/>
          <w:numId w:val="12"/>
        </w:numPr>
        <w:spacing w:line="240" w:lineRule="auto"/>
        <w:rPr>
          <w:rFonts w:ascii="Titillium Web" w:eastAsia="Titillium Web" w:hAnsi="Titillium Web" w:cs="Titillium Web"/>
          <w:i/>
          <w:iCs/>
        </w:rPr>
      </w:pPr>
      <w:r>
        <w:rPr>
          <w:rFonts w:ascii="Titillium Web" w:eastAsia="Titillium Web" w:hAnsi="Titillium Web" w:cs="Titillium Web"/>
          <w:i/>
          <w:iCs/>
        </w:rPr>
        <w:t>delibera ANAC n. 261/2023 - BDNCP</w:t>
      </w:r>
    </w:p>
    <w:p w:rsidR="00885929" w:rsidRDefault="007F469E">
      <w:pPr>
        <w:widowControl w:val="0"/>
        <w:numPr>
          <w:ilvl w:val="0"/>
          <w:numId w:val="12"/>
        </w:numPr>
        <w:spacing w:line="240" w:lineRule="auto"/>
        <w:rPr>
          <w:rFonts w:ascii="Titillium Web" w:eastAsia="Titillium Web" w:hAnsi="Titillium Web" w:cs="Titillium Web"/>
          <w:i/>
          <w:iCs/>
        </w:rPr>
      </w:pPr>
      <w:r>
        <w:rPr>
          <w:rFonts w:ascii="Titillium Web" w:eastAsia="Titillium Web" w:hAnsi="Titillium Web" w:cs="Titillium Web"/>
          <w:i/>
          <w:iCs/>
        </w:rPr>
        <w:t>delibera ANAC n. 262/2023 - FVOE</w:t>
      </w:r>
    </w:p>
    <w:p w:rsidR="00885929" w:rsidRDefault="007F469E">
      <w:pPr>
        <w:widowControl w:val="0"/>
        <w:numPr>
          <w:ilvl w:val="0"/>
          <w:numId w:val="12"/>
        </w:numPr>
        <w:spacing w:line="240" w:lineRule="auto"/>
        <w:rPr>
          <w:rFonts w:ascii="Titillium Web" w:eastAsia="Titillium Web" w:hAnsi="Titillium Web" w:cs="Titillium Web"/>
          <w:i/>
          <w:iCs/>
        </w:rPr>
      </w:pPr>
      <w:r>
        <w:rPr>
          <w:rFonts w:ascii="Titillium Web" w:eastAsia="Titillium Web" w:hAnsi="Titillium Web" w:cs="Titillium Web"/>
          <w:i/>
          <w:iCs/>
        </w:rPr>
        <w:t>delibera ANAC n. 263/2023 - pubblicità legale contratti di appalto</w:t>
      </w:r>
    </w:p>
    <w:p w:rsidR="00885929" w:rsidRDefault="007F469E">
      <w:pPr>
        <w:widowControl w:val="0"/>
        <w:numPr>
          <w:ilvl w:val="0"/>
          <w:numId w:val="12"/>
        </w:numPr>
        <w:spacing w:line="240" w:lineRule="auto"/>
        <w:rPr>
          <w:rFonts w:ascii="Titillium Web" w:eastAsia="Titillium Web" w:hAnsi="Titillium Web" w:cs="Titillium Web"/>
          <w:i/>
          <w:iCs/>
        </w:rPr>
      </w:pPr>
      <w:r>
        <w:rPr>
          <w:rFonts w:ascii="Titillium Web" w:eastAsia="Titillium Web" w:hAnsi="Titillium Web" w:cs="Titillium Web"/>
          <w:i/>
          <w:iCs/>
        </w:rPr>
        <w:t>delibera ANAC n. 264/2023 - trasparenza appalti</w:t>
      </w:r>
    </w:p>
    <w:p w:rsidR="00885929" w:rsidRDefault="007F469E">
      <w:pPr>
        <w:widowControl w:val="0"/>
        <w:numPr>
          <w:ilvl w:val="0"/>
          <w:numId w:val="12"/>
        </w:numPr>
        <w:spacing w:line="240" w:lineRule="auto"/>
        <w:rPr>
          <w:rFonts w:ascii="Titillium Web" w:eastAsia="Titillium Web" w:hAnsi="Titillium Web" w:cs="Titillium Web"/>
          <w:i/>
          <w:iCs/>
        </w:rPr>
      </w:pPr>
      <w:r>
        <w:rPr>
          <w:rFonts w:ascii="Titillium Web" w:eastAsia="Titillium Web" w:hAnsi="Titillium Web" w:cs="Titillium Web"/>
          <w:i/>
          <w:iCs/>
        </w:rPr>
        <w:t>delibera ANAC n. 272/2023 - casellario informatico contratti</w:t>
      </w:r>
    </w:p>
    <w:p w:rsidR="00885929" w:rsidRDefault="007F469E">
      <w:pPr>
        <w:widowControl w:val="0"/>
        <w:numPr>
          <w:ilvl w:val="0"/>
          <w:numId w:val="12"/>
        </w:numPr>
        <w:spacing w:after="200" w:line="240" w:lineRule="auto"/>
        <w:rPr>
          <w:rFonts w:ascii="Titillium Web" w:eastAsia="Titillium Web" w:hAnsi="Titillium Web" w:cs="Titillium Web"/>
          <w:i/>
          <w:iCs/>
        </w:rPr>
      </w:pPr>
      <w:r>
        <w:rPr>
          <w:rFonts w:ascii="Titillium Web" w:eastAsia="Titillium Web" w:hAnsi="Titillium Web" w:cs="Titillium Web"/>
          <w:i/>
          <w:iCs/>
        </w:rPr>
        <w:t>delibera ANAC n. 582/2023 - avvio digitalizzazione contratti</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In primis, tutti i contratti di appalto affidati dal Comune (anche quelli di affidamento diretto) devono essere digitalizzati in ogni loro fase (dalla programmazione alla verifica dell’esecuzione), tramite</w:t>
      </w:r>
      <w:r>
        <w:rPr>
          <w:rFonts w:ascii="Titillium Web" w:eastAsia="Titillium Web" w:hAnsi="Titillium Web" w:cs="Titillium Web"/>
          <w:b/>
          <w:bCs/>
        </w:rPr>
        <w:t xml:space="preserve"> l’utilizzo di PAD</w:t>
      </w:r>
      <w:r>
        <w:rPr>
          <w:rFonts w:ascii="Titillium Web" w:eastAsia="Titillium Web" w:hAnsi="Titillium Web" w:cs="Titillium Web"/>
        </w:rPr>
        <w:t xml:space="preserve"> (“Piattaforme</w:t>
      </w:r>
      <w:r w:rsidR="00B92A47">
        <w:rPr>
          <w:rFonts w:ascii="Titillium Web" w:eastAsia="Titillium Web" w:hAnsi="Titillium Web" w:cs="Titillium Web"/>
        </w:rPr>
        <w:t xml:space="preserve"> di acquisto certificate”) </w:t>
      </w:r>
      <w:r>
        <w:rPr>
          <w:rFonts w:ascii="Titillium Web" w:eastAsia="Titillium Web" w:hAnsi="Titillium Web" w:cs="Titillium Web"/>
        </w:rPr>
        <w:t>a disposizione in ambito del sistema di e-procurement nazionale (PCP di ANAC</w:t>
      </w:r>
      <w:r w:rsidR="006E6725">
        <w:rPr>
          <w:rFonts w:ascii="Titillium Web" w:eastAsia="Titillium Web" w:hAnsi="Titillium Web" w:cs="Titillium Web"/>
        </w:rPr>
        <w:t xml:space="preserve"> e </w:t>
      </w:r>
      <w:proofErr w:type="spellStart"/>
      <w:r w:rsidR="006E6725">
        <w:rPr>
          <w:rFonts w:ascii="Titillium Web" w:eastAsia="Titillium Web" w:hAnsi="Titillium Web" w:cs="Titillium Web"/>
        </w:rPr>
        <w:t>Me.Pa</w:t>
      </w:r>
      <w:proofErr w:type="spellEnd"/>
      <w:r w:rsidR="006E6725">
        <w:rPr>
          <w:rFonts w:ascii="Titillium Web" w:eastAsia="Titillium Web" w:hAnsi="Titillium Web" w:cs="Titillium Web"/>
        </w:rPr>
        <w:t>.</w:t>
      </w:r>
      <w:r>
        <w:rPr>
          <w:rFonts w:ascii="Titillium Web" w:eastAsia="Titillium Web" w:hAnsi="Titillium Web" w:cs="Titillium Web"/>
        </w:rPr>
        <w:t>) e/o regionale.</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Poi, va garantito l’</w:t>
      </w:r>
      <w:r>
        <w:rPr>
          <w:rFonts w:ascii="Titillium Web" w:eastAsia="Titillium Web" w:hAnsi="Titillium Web" w:cs="Titillium Web"/>
          <w:b/>
          <w:bCs/>
        </w:rPr>
        <w:t>obbligo della “Trasparenza automatizzata” dei contratti di appalto (art. 28 Codice), tramite link ipertestuale di tutti gli affidamenti alla BDNCP</w:t>
      </w:r>
      <w:r>
        <w:rPr>
          <w:rFonts w:ascii="Titillium Web" w:eastAsia="Titillium Web" w:hAnsi="Titillium Web" w:cs="Titillium Web"/>
        </w:rPr>
        <w:t xml:space="preserve">, che va riportato nell’apposita sezione, </w:t>
      </w:r>
      <w:r>
        <w:rPr>
          <w:rFonts w:ascii="Titillium Web" w:eastAsia="Titillium Web" w:hAnsi="Titillium Web" w:cs="Titillium Web"/>
          <w:i/>
          <w:iCs/>
          <w:u w:val="single"/>
        </w:rPr>
        <w:t>bandi gara,</w:t>
      </w:r>
      <w:r>
        <w:rPr>
          <w:rFonts w:ascii="Titillium Web" w:eastAsia="Titillium Web" w:hAnsi="Titillium Web" w:cs="Titillium Web"/>
        </w:rPr>
        <w:t xml:space="preserve"> di "Amministrazione Trasparente" nel sito web.</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Infine, va sempre utilizzato il </w:t>
      </w:r>
      <w:r>
        <w:rPr>
          <w:rFonts w:ascii="Titillium Web" w:eastAsia="Titillium Web" w:hAnsi="Titillium Web" w:cs="Titillium Web"/>
          <w:b/>
          <w:bCs/>
        </w:rPr>
        <w:t xml:space="preserve">FVOE </w:t>
      </w:r>
      <w:r>
        <w:rPr>
          <w:rFonts w:ascii="Titillium Web" w:eastAsia="Titillium Web" w:hAnsi="Titillium Web" w:cs="Titillium Web"/>
          <w:b/>
          <w:bCs/>
          <w:i/>
          <w:iCs/>
        </w:rPr>
        <w:t>(</w:t>
      </w:r>
      <w:r>
        <w:rPr>
          <w:rFonts w:ascii="Titillium Web" w:eastAsia="Titillium Web" w:hAnsi="Titillium Web" w:cs="Titillium Web"/>
          <w:b/>
          <w:bCs/>
          <w:i/>
          <w:iCs/>
          <w:u w:val="single"/>
        </w:rPr>
        <w:t>Fascicolo Virtuale degli Operatori Economici)</w:t>
      </w:r>
      <w:r>
        <w:rPr>
          <w:rFonts w:ascii="Titillium Web" w:eastAsia="Titillium Web" w:hAnsi="Titillium Web" w:cs="Titillium Web"/>
          <w:b/>
          <w:bCs/>
          <w:i/>
          <w:iCs/>
        </w:rPr>
        <w:t xml:space="preserve"> </w:t>
      </w:r>
      <w:r w:rsidRPr="00A51B65">
        <w:rPr>
          <w:rFonts w:ascii="Titillium Web" w:eastAsia="Titillium Web" w:hAnsi="Titillium Web" w:cs="Titillium Web"/>
        </w:rPr>
        <w:t>per la verifica dei requisiti degli OE negli affidamenti di contratti di importo superiore a € 40.000.</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INOLTRE, stante che il Comune si avvale di un modello misto di committenza:</w:t>
      </w:r>
    </w:p>
    <w:p w:rsidR="00885929" w:rsidRDefault="007F469E">
      <w:pPr>
        <w:numPr>
          <w:ilvl w:val="0"/>
          <w:numId w:val="21"/>
        </w:numPr>
        <w:spacing w:after="200" w:line="240" w:lineRule="auto"/>
        <w:jc w:val="both"/>
        <w:rPr>
          <w:i/>
          <w:iCs/>
        </w:rPr>
      </w:pPr>
      <w:r>
        <w:rPr>
          <w:rFonts w:ascii="Titillium Web" w:eastAsia="Titillium Web" w:hAnsi="Titillium Web" w:cs="Titillium Web"/>
          <w:b/>
          <w:bCs/>
          <w:i/>
          <w:iCs/>
        </w:rPr>
        <w:t>Gestione Comunale:</w:t>
      </w:r>
      <w:r>
        <w:rPr>
          <w:rFonts w:ascii="Titillium Web" w:eastAsia="Titillium Web" w:hAnsi="Titillium Web" w:cs="Titillium Web"/>
          <w:i/>
          <w:iCs/>
        </w:rPr>
        <w:t xml:space="preserve"> Affidamenti diretti (Art. 50 co.1 lett. a-b) e procedure negoziate sotto-soglia (Art. 50 co.1 lett. c-d);</w:t>
      </w:r>
    </w:p>
    <w:p w:rsidR="00885929" w:rsidRDefault="007F469E">
      <w:pPr>
        <w:numPr>
          <w:ilvl w:val="0"/>
          <w:numId w:val="21"/>
        </w:numPr>
        <w:spacing w:after="200" w:line="240" w:lineRule="auto"/>
        <w:jc w:val="both"/>
        <w:rPr>
          <w:i/>
          <w:iCs/>
        </w:rPr>
      </w:pPr>
      <w:r>
        <w:rPr>
          <w:rFonts w:ascii="Titillium Web" w:eastAsia="Titillium Web" w:hAnsi="Titillium Web" w:cs="Titillium Web"/>
          <w:b/>
          <w:bCs/>
          <w:i/>
          <w:iCs/>
        </w:rPr>
        <w:t>Gestione Delegata (</w:t>
      </w:r>
      <w:r w:rsidR="00F86842">
        <w:rPr>
          <w:rFonts w:ascii="Titillium Web" w:eastAsia="Titillium Web" w:hAnsi="Titillium Web" w:cs="Titillium Web"/>
          <w:b/>
          <w:bCs/>
          <w:i/>
          <w:iCs/>
        </w:rPr>
        <w:t>Stazione appaltante della Provincia</w:t>
      </w:r>
      <w:r>
        <w:rPr>
          <w:rFonts w:ascii="Titillium Web" w:eastAsia="Titillium Web" w:hAnsi="Titillium Web" w:cs="Titillium Web"/>
          <w:b/>
          <w:bCs/>
          <w:i/>
          <w:iCs/>
        </w:rPr>
        <w:t>):</w:t>
      </w:r>
      <w:r>
        <w:rPr>
          <w:rFonts w:ascii="Titillium Web" w:eastAsia="Titillium Web" w:hAnsi="Titillium Web" w:cs="Titillium Web"/>
          <w:i/>
          <w:iCs/>
        </w:rPr>
        <w:t xml:space="preserve"> Gare sopra-soglia o di particolare complessità tecnica (Il Comune rimane titolare della programmazione e della fase esecutiva), </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i/>
          <w:iCs/>
        </w:rPr>
        <w:lastRenderedPageBreak/>
        <w:t xml:space="preserve">SI PREVEDE IL SEGUENTE “MODUS OPERANDI” </w:t>
      </w:r>
      <w:r>
        <w:rPr>
          <w:rFonts w:ascii="Titillium Web" w:eastAsia="Titillium Web" w:hAnsi="Titillium Web" w:cs="Titillium Web"/>
        </w:rPr>
        <w:t>per gli affidamenti che vengono effettuati dal Comune:</w:t>
      </w:r>
    </w:p>
    <w:p w:rsidR="00885929" w:rsidRDefault="007F469E">
      <w:pPr>
        <w:numPr>
          <w:ilvl w:val="0"/>
          <w:numId w:val="3"/>
        </w:numPr>
        <w:spacing w:after="200" w:line="240" w:lineRule="auto"/>
        <w:jc w:val="both"/>
      </w:pPr>
      <w:proofErr w:type="spellStart"/>
      <w:r>
        <w:rPr>
          <w:rFonts w:ascii="PT Mono" w:eastAsia="PT Mono" w:hAnsi="PT Mono" w:cs="PT Mono"/>
          <w:b/>
          <w:bCs/>
          <w:u w:val="single"/>
        </w:rPr>
        <w:t>Microaffidamenti</w:t>
      </w:r>
      <w:proofErr w:type="spellEnd"/>
      <w:r>
        <w:rPr>
          <w:rFonts w:ascii="PT Mono" w:eastAsia="PT Mono" w:hAnsi="PT Mono" w:cs="PT Mono"/>
          <w:b/>
          <w:bCs/>
          <w:u w:val="single"/>
        </w:rPr>
        <w:t xml:space="preserve"> (&lt; 5.000 €)</w:t>
      </w:r>
      <w:r>
        <w:rPr>
          <w:rFonts w:ascii="Titillium Web" w:eastAsia="Titillium Web" w:hAnsi="Titillium Web" w:cs="Titillium Web"/>
          <w:b/>
          <w:bCs/>
        </w:rPr>
        <w:t>:</w:t>
      </w:r>
      <w:r>
        <w:rPr>
          <w:rFonts w:ascii="Titillium Web" w:eastAsia="Titillium Web" w:hAnsi="Titillium Web" w:cs="Titillium Web"/>
        </w:rPr>
        <w:t xml:space="preserve"> Obbligo di acquisizione CIG via PCP-</w:t>
      </w:r>
      <w:proofErr w:type="spellStart"/>
      <w:r>
        <w:rPr>
          <w:rFonts w:ascii="Titillium Web" w:eastAsia="Titillium Web" w:hAnsi="Titillium Web" w:cs="Titillium Web"/>
        </w:rPr>
        <w:t>Anac</w:t>
      </w:r>
      <w:proofErr w:type="spellEnd"/>
      <w:r>
        <w:rPr>
          <w:rFonts w:ascii="Titillium Web" w:eastAsia="Titillium Web" w:hAnsi="Titillium Web" w:cs="Titillium Web"/>
        </w:rPr>
        <w:t xml:space="preserve"> o Asme-</w:t>
      </w:r>
      <w:proofErr w:type="spellStart"/>
      <w:r>
        <w:rPr>
          <w:rFonts w:ascii="Titillium Web" w:eastAsia="Titillium Web" w:hAnsi="Titillium Web" w:cs="Titillium Web"/>
        </w:rPr>
        <w:t>Comm</w:t>
      </w:r>
      <w:proofErr w:type="spellEnd"/>
      <w:r>
        <w:rPr>
          <w:rFonts w:ascii="Titillium Web" w:eastAsia="Titillium Web" w:hAnsi="Titillium Web" w:cs="Titillium Web"/>
        </w:rPr>
        <w:t xml:space="preserve"> </w:t>
      </w:r>
      <w:r w:rsidR="003A2BA7">
        <w:rPr>
          <w:rFonts w:ascii="Titillium Web" w:eastAsia="Titillium Web" w:hAnsi="Titillium Web" w:cs="Titillium Web"/>
        </w:rPr>
        <w:t xml:space="preserve"> o </w:t>
      </w:r>
      <w:proofErr w:type="spellStart"/>
      <w:r w:rsidR="003A2BA7">
        <w:rPr>
          <w:rFonts w:ascii="Titillium Web" w:eastAsia="Titillium Web" w:hAnsi="Titillium Web" w:cs="Titillium Web"/>
        </w:rPr>
        <w:t>Me.Pa</w:t>
      </w:r>
      <w:proofErr w:type="spellEnd"/>
      <w:r w:rsidR="003A2BA7">
        <w:rPr>
          <w:rFonts w:ascii="Titillium Web" w:eastAsia="Titillium Web" w:hAnsi="Titillium Web" w:cs="Titillium Web"/>
        </w:rPr>
        <w:t>.</w:t>
      </w:r>
      <w:r>
        <w:rPr>
          <w:rFonts w:ascii="Titillium Web" w:eastAsia="Titillium Web" w:hAnsi="Titillium Web" w:cs="Titillium Web"/>
        </w:rPr>
        <w:t>. La verifica dei requisiti può basarsi su autocertificazione, fermo restando il controllo di veridicità.</w:t>
      </w:r>
    </w:p>
    <w:p w:rsidR="00885929" w:rsidRDefault="007F469E">
      <w:pPr>
        <w:numPr>
          <w:ilvl w:val="0"/>
          <w:numId w:val="3"/>
        </w:numPr>
        <w:spacing w:after="200" w:line="240" w:lineRule="auto"/>
        <w:jc w:val="both"/>
      </w:pPr>
      <w:r>
        <w:rPr>
          <w:rFonts w:ascii="PT Mono" w:eastAsia="PT Mono" w:hAnsi="PT Mono" w:cs="PT Mono"/>
          <w:b/>
          <w:bCs/>
          <w:u w:val="single"/>
        </w:rPr>
        <w:t>Affidamenti Diretti &lt; 40.000 € (Autocertificazioni)</w:t>
      </w:r>
      <w:r>
        <w:rPr>
          <w:rFonts w:ascii="Titillium Web" w:eastAsia="Titillium Web" w:hAnsi="Titillium Web" w:cs="Titillium Web"/>
          <w:b/>
          <w:bCs/>
        </w:rPr>
        <w:t>:</w:t>
      </w:r>
      <w:r>
        <w:rPr>
          <w:rFonts w:ascii="Titillium Web" w:eastAsia="Titillium Web" w:hAnsi="Titillium Web" w:cs="Titillium Web"/>
        </w:rPr>
        <w:t xml:space="preserve"> Come per il precedente punto. Il RUP esegue controlli a campione consultando d'ufficio il Casellario Giudiziale e le altre banche dati, tracciando l'esito della verifica nel fascicolo digitale.</w:t>
      </w:r>
    </w:p>
    <w:p w:rsidR="00885929" w:rsidRDefault="007F469E">
      <w:pPr>
        <w:numPr>
          <w:ilvl w:val="0"/>
          <w:numId w:val="3"/>
        </w:numPr>
        <w:spacing w:after="200" w:line="240" w:lineRule="auto"/>
        <w:jc w:val="both"/>
      </w:pPr>
      <w:r>
        <w:rPr>
          <w:rFonts w:ascii="Titillium Web" w:eastAsia="Titillium Web" w:hAnsi="Titillium Web" w:cs="Titillium Web"/>
          <w:b/>
          <w:bCs/>
          <w:u w:val="single"/>
        </w:rPr>
        <w:t>Rotazione degli Operatori economici contraenti</w:t>
      </w:r>
      <w:r>
        <w:rPr>
          <w:rFonts w:ascii="Titillium Web" w:eastAsia="Titillium Web" w:hAnsi="Titillium Web" w:cs="Titillium Web"/>
          <w:b/>
          <w:bCs/>
        </w:rPr>
        <w:t>:</w:t>
      </w:r>
      <w:r>
        <w:rPr>
          <w:rFonts w:ascii="Titillium Web" w:eastAsia="Titillium Web" w:hAnsi="Titillium Web" w:cs="Titillium Web"/>
        </w:rPr>
        <w:t xml:space="preserve"> Il RUP monitora il rispetto del “principio di rotazione” degli OE contraenti. Eventuali deroghe (es. unico fornitore da doversi reperire in zona, per le caratteristiche del servizio/fornitura) devono essere motivate analiticamente sotto il profilo dell'economicità e dell'efficienza.</w:t>
      </w:r>
    </w:p>
    <w:p w:rsidR="00885929" w:rsidRDefault="007F469E">
      <w:pPr>
        <w:numPr>
          <w:ilvl w:val="0"/>
          <w:numId w:val="3"/>
        </w:numPr>
        <w:spacing w:after="200" w:line="240" w:lineRule="auto"/>
        <w:jc w:val="both"/>
      </w:pPr>
      <w:r>
        <w:rPr>
          <w:rFonts w:ascii="Titillium Web" w:eastAsia="Titillium Web" w:hAnsi="Titillium Web" w:cs="Titillium Web"/>
          <w:b/>
          <w:bCs/>
          <w:u w:val="single"/>
        </w:rPr>
        <w:t>Fase Esecutiva Digitale</w:t>
      </w:r>
      <w:r>
        <w:rPr>
          <w:rFonts w:ascii="Titillium Web" w:eastAsia="Titillium Web" w:hAnsi="Titillium Web" w:cs="Titillium Web"/>
          <w:b/>
          <w:bCs/>
        </w:rPr>
        <w:t>:</w:t>
      </w:r>
      <w:r>
        <w:rPr>
          <w:rFonts w:ascii="Titillium Web" w:eastAsia="Titillium Web" w:hAnsi="Titillium Web" w:cs="Titillium Web"/>
        </w:rPr>
        <w:t xml:space="preserve"> Il monitoraggio avviene tramite il caricamento tempestivo sulla PAD di varianti, sospensioni e stati di avanzamento (SAL).</w:t>
      </w:r>
    </w:p>
    <w:p w:rsidR="00885929" w:rsidRDefault="007F469E">
      <w:pPr>
        <w:numPr>
          <w:ilvl w:val="0"/>
          <w:numId w:val="3"/>
        </w:numPr>
        <w:spacing w:after="200" w:line="240" w:lineRule="auto"/>
        <w:jc w:val="both"/>
      </w:pPr>
      <w:r>
        <w:rPr>
          <w:rFonts w:ascii="Titillium Web" w:eastAsia="Titillium Web" w:hAnsi="Titillium Web" w:cs="Titillium Web"/>
          <w:b/>
          <w:bCs/>
          <w:u w:val="single"/>
        </w:rPr>
        <w:t>Malfunzionamenti FVOE 2.0</w:t>
      </w:r>
      <w:r>
        <w:rPr>
          <w:rFonts w:ascii="Titillium Web" w:eastAsia="Titillium Web" w:hAnsi="Titillium Web" w:cs="Titillium Web"/>
          <w:b/>
          <w:bCs/>
        </w:rPr>
        <w:t>:</w:t>
      </w:r>
      <w:r>
        <w:rPr>
          <w:rFonts w:ascii="Titillium Web" w:eastAsia="Titillium Web" w:hAnsi="Titillium Web" w:cs="Titillium Web"/>
        </w:rPr>
        <w:t xml:space="preserve"> In caso di blocco tecnico accertato del FVOE che persista per oltre 30 giorni, il RUP procede all'aggiudicazione previa acquisizione di autocertificazione dell'operatore, con obbligo di verifica postuma appena il sistema torna operativo.</w:t>
      </w:r>
    </w:p>
    <w:p w:rsidR="00885929" w:rsidRDefault="00885929">
      <w:pPr>
        <w:pStyle w:val="Titolo4"/>
        <w:keepNext w:val="0"/>
        <w:keepLines w:val="0"/>
        <w:rPr>
          <w:sz w:val="22"/>
          <w:szCs w:val="22"/>
        </w:rPr>
      </w:pPr>
      <w:bookmarkStart w:id="34" w:name="_uxo5y6lhfmp" w:colFirst="0" w:colLast="0"/>
      <w:bookmarkEnd w:id="34"/>
    </w:p>
    <w:p w:rsidR="00885929" w:rsidRDefault="007F469E">
      <w:pPr>
        <w:pStyle w:val="Titolo4"/>
      </w:pPr>
      <w:bookmarkStart w:id="35" w:name="_4vqioqs94rol" w:colFirst="0" w:colLast="0"/>
      <w:bookmarkEnd w:id="35"/>
      <w:r>
        <w:t>4. L'ANALISI DEL CONTESTO</w:t>
      </w:r>
    </w:p>
    <w:p w:rsidR="00885929" w:rsidRDefault="007F469E">
      <w:pPr>
        <w:pStyle w:val="Titolo5"/>
        <w:rPr>
          <w:sz w:val="22"/>
          <w:szCs w:val="22"/>
        </w:rPr>
      </w:pPr>
      <w:bookmarkStart w:id="36" w:name="_oztmcuf5rmrp" w:colFirst="0" w:colLast="0"/>
      <w:bookmarkEnd w:id="36"/>
      <w:r>
        <w:rPr>
          <w:sz w:val="22"/>
          <w:szCs w:val="22"/>
        </w:rPr>
        <w:t xml:space="preserve">4.1 Analisi del contesto esterno </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L’analisi del contesto esterno ha principalmente </w:t>
      </w:r>
      <w:r>
        <w:rPr>
          <w:rFonts w:ascii="Titillium Web" w:eastAsia="Titillium Web" w:hAnsi="Titillium Web" w:cs="Titillium Web"/>
          <w:u w:val="single"/>
        </w:rPr>
        <w:t>due obiettivi:</w:t>
      </w:r>
      <w:r>
        <w:rPr>
          <w:rFonts w:ascii="Titillium Web" w:eastAsia="Titillium Web" w:hAnsi="Titillium Web" w:cs="Titillium Web"/>
        </w:rPr>
        <w:t xml:space="preserve"> </w:t>
      </w:r>
    </w:p>
    <w:p w:rsidR="00885929" w:rsidRDefault="007F469E">
      <w:pPr>
        <w:keepNext/>
        <w:numPr>
          <w:ilvl w:val="0"/>
          <w:numId w:val="8"/>
        </w:num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il primo, evidenziare come le caratteristiche strutturali e congiunturali dell’ambiente nel quale l’amministrazione comunale si trova ad operare possano favorire il verificarsi di fenomeni corruttivi; </w:t>
      </w:r>
    </w:p>
    <w:p w:rsidR="00885929" w:rsidRDefault="007F469E">
      <w:pPr>
        <w:keepNext/>
        <w:numPr>
          <w:ilvl w:val="0"/>
          <w:numId w:val="8"/>
        </w:num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il secondo, come tali caratteristiche ambientali possano condizionare la valutazione del rischio corruttivo e il monitoraggio dell’idoneità delle misure di prevenzione.</w:t>
      </w:r>
    </w:p>
    <w:p w:rsidR="00885929" w:rsidRDefault="007F469E">
      <w:pPr>
        <w:widowControl w:val="0"/>
        <w:spacing w:after="120" w:line="240" w:lineRule="auto"/>
        <w:jc w:val="both"/>
        <w:rPr>
          <w:rFonts w:ascii="Titillium Web" w:eastAsia="Titillium Web" w:hAnsi="Titillium Web" w:cs="Titillium Web"/>
          <w:i/>
          <w:iCs/>
        </w:rPr>
      </w:pPr>
      <w:r>
        <w:rPr>
          <w:rFonts w:ascii="Titillium Web" w:eastAsia="Titillium Web" w:hAnsi="Titillium Web" w:cs="Titillium Web"/>
        </w:rPr>
        <w:t xml:space="preserve">Secondo l’ANAC </w:t>
      </w:r>
      <w:r>
        <w:rPr>
          <w:rFonts w:ascii="Titillium Web" w:eastAsia="Titillium Web" w:hAnsi="Titillium Web" w:cs="Titillium Web"/>
          <w:i/>
          <w:iCs/>
        </w:rPr>
        <w:t>“l’analisi del contesto esterno consiste nell’individuazione e descrizione delle caratteristiche culturali, sociali ed economiche del territorio o del settore specifico di intervento, nonché delle relazioni esistenti con gli stakeholders e di come queste ultime possano influire sull’attività dell’amministrazione, favorendo eventualmente il verificarsi di fenomeni corruttivi al suo interno“.</w:t>
      </w:r>
    </w:p>
    <w:p w:rsidR="00885929" w:rsidRDefault="007F469E">
      <w:pPr>
        <w:widowControl w:val="0"/>
        <w:spacing w:after="120" w:line="240" w:lineRule="auto"/>
        <w:jc w:val="both"/>
        <w:rPr>
          <w:rFonts w:ascii="Titillium Web" w:eastAsia="Titillium Web" w:hAnsi="Titillium Web" w:cs="Titillium Web"/>
        </w:rPr>
      </w:pPr>
      <w:r w:rsidRPr="00E760A3">
        <w:rPr>
          <w:rFonts w:ascii="Titillium Web" w:eastAsia="Titillium Web" w:hAnsi="Titillium Web" w:cs="Titillium Web"/>
        </w:rPr>
        <w:t xml:space="preserve">Per quanto riguarda, quindi, lo specifico “contesto ESTERNO” di questo Comune, elementi di carattere generale sulla situazione socio economica, a livello territoriale, sono desumibili già da quanto  evidenziato </w:t>
      </w:r>
      <w:r w:rsidRPr="00E760A3">
        <w:rPr>
          <w:rFonts w:ascii="Titillium Web" w:eastAsia="Titillium Web" w:hAnsi="Titillium Web" w:cs="Titillium Web"/>
          <w:b/>
          <w:bCs/>
        </w:rPr>
        <w:t xml:space="preserve">nel DUP 2026/2028 </w:t>
      </w:r>
      <w:r w:rsidRPr="00E760A3">
        <w:rPr>
          <w:rFonts w:ascii="Titillium Web" w:eastAsia="Titillium Web" w:hAnsi="Titillium Web" w:cs="Titillium Web"/>
        </w:rPr>
        <w:t xml:space="preserve">, </w:t>
      </w:r>
      <w:r w:rsidR="00E760A3" w:rsidRPr="00E760A3">
        <w:rPr>
          <w:rFonts w:ascii="Titillium Web" w:eastAsia="Titillium Web" w:hAnsi="Titillium Web" w:cs="Titillium Web"/>
        </w:rPr>
        <w:t xml:space="preserve">e per </w:t>
      </w:r>
      <w:r w:rsidRPr="00E760A3">
        <w:rPr>
          <w:rFonts w:ascii="Titillium Web" w:eastAsia="Titillium Web" w:hAnsi="Titillium Web" w:cs="Titillium Web"/>
        </w:rPr>
        <w:t>cui si rimanda</w:t>
      </w:r>
      <w:r w:rsidR="00E760A3" w:rsidRPr="00E760A3">
        <w:rPr>
          <w:rFonts w:ascii="Titillium Web" w:eastAsia="Titillium Web" w:hAnsi="Titillium Web" w:cs="Titillium Web"/>
        </w:rPr>
        <w:t xml:space="preserve"> alle Delibere di Consiglio n. 28 del </w:t>
      </w:r>
      <w:r w:rsidR="00E760A3" w:rsidRPr="00E760A3">
        <w:rPr>
          <w:rFonts w:ascii="Titillium Web" w:eastAsia="Titillium Web" w:hAnsi="Titillium Web" w:cs="Titillium Web"/>
        </w:rPr>
        <w:lastRenderedPageBreak/>
        <w:t>03.10.2025 e n. 6 del 28.02.2026</w:t>
      </w:r>
      <w:r w:rsidRPr="00E760A3">
        <w:rPr>
          <w:rFonts w:ascii="Titillium Web" w:eastAsia="Titillium Web" w:hAnsi="Titillium Web" w:cs="Titillium Web"/>
        </w:rPr>
        <w:t>.</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Per l'analisi riferita al territorio </w:t>
      </w:r>
      <w:r w:rsidR="00835544">
        <w:rPr>
          <w:rFonts w:ascii="Titillium Web" w:eastAsia="Titillium Web" w:hAnsi="Titillium Web" w:cs="Titillium Web"/>
        </w:rPr>
        <w:t>si rinvia a:</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b/>
          <w:bCs/>
          <w:i/>
          <w:iCs/>
          <w:u w:val="single"/>
        </w:rPr>
        <w:t>• Indicatori Socio-Economici:</w:t>
      </w:r>
      <w:r>
        <w:rPr>
          <w:rFonts w:ascii="Titillium Web" w:eastAsia="Titillium Web" w:hAnsi="Titillium Web" w:cs="Titillium Web"/>
        </w:rPr>
        <w:t xml:space="preserve"> Il contesto di riferimento, basato sui dati della Provincia di </w:t>
      </w:r>
      <w:r w:rsidR="00835544">
        <w:rPr>
          <w:rFonts w:ascii="Titillium Web" w:eastAsia="Titillium Web" w:hAnsi="Titillium Web" w:cs="Titillium Web"/>
        </w:rPr>
        <w:t>Fermo</w:t>
      </w:r>
      <w:r>
        <w:rPr>
          <w:rFonts w:ascii="Titillium Web" w:eastAsia="Titillium Web" w:hAnsi="Titillium Web" w:cs="Titillium Web"/>
        </w:rPr>
        <w:t xml:space="preserve">, mostra un tessuto economico caratterizzato da micro e piccole imprese, principalmente nei settori </w:t>
      </w:r>
      <w:r w:rsidR="00835544">
        <w:rPr>
          <w:rFonts w:ascii="Titillium Web" w:eastAsia="Titillium Web" w:hAnsi="Titillium Web" w:cs="Titillium Web"/>
        </w:rPr>
        <w:t xml:space="preserve">manifatturiero, </w:t>
      </w:r>
      <w:r>
        <w:rPr>
          <w:rFonts w:ascii="Titillium Web" w:eastAsia="Titillium Web" w:hAnsi="Titillium Web" w:cs="Titillium Web"/>
        </w:rPr>
        <w:t>agricolo, turistico e dei servizi manutentivi.</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b/>
          <w:bCs/>
          <w:i/>
          <w:iCs/>
          <w:u w:val="single"/>
        </w:rPr>
        <w:t>• Fattori di Rischio Territoriale</w:t>
      </w:r>
      <w:r>
        <w:rPr>
          <w:rFonts w:ascii="Titillium Web" w:eastAsia="Titillium Web" w:hAnsi="Titillium Web" w:cs="Titillium Web"/>
        </w:rPr>
        <w:t>: Nonostante la zona sia ritenuta "tranquilla", la gestione di fondi rilevanti (PNRR</w:t>
      </w:r>
      <w:r w:rsidR="00835544">
        <w:rPr>
          <w:rFonts w:ascii="Titillium Web" w:eastAsia="Titillium Web" w:hAnsi="Titillium Web" w:cs="Titillium Web"/>
        </w:rPr>
        <w:t xml:space="preserve"> e Sisma</w:t>
      </w:r>
      <w:r>
        <w:rPr>
          <w:rFonts w:ascii="Titillium Web" w:eastAsia="Titillium Web" w:hAnsi="Titillium Web" w:cs="Titillium Web"/>
        </w:rPr>
        <w:t>) attraggono un forte interesse esterno, aumentando il rischio di pressioni improprie o tentativi di infiltrazione nella filiera degli appalti.</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b/>
          <w:bCs/>
          <w:i/>
          <w:iCs/>
          <w:u w:val="single"/>
        </w:rPr>
        <w:t>• Criminalità e Giustizia</w:t>
      </w:r>
      <w:r>
        <w:rPr>
          <w:rFonts w:ascii="Titillium Web" w:eastAsia="Titillium Web" w:hAnsi="Titillium Web" w:cs="Titillium Web"/>
        </w:rPr>
        <w:t>: Si tiene conto dei dati giudiziari provinciali su reati contro la P.A. e delle segnalazioni provenienti dalla Prefettura (White List), che costituiscono la base per calibrare le misure di controllo sugli operatori economici.</w:t>
      </w:r>
    </w:p>
    <w:p w:rsidR="00885929" w:rsidRDefault="00885929">
      <w:pPr>
        <w:pStyle w:val="Titolo5"/>
        <w:rPr>
          <w:sz w:val="22"/>
          <w:szCs w:val="22"/>
        </w:rPr>
      </w:pPr>
      <w:bookmarkStart w:id="37" w:name="_pqyhm9qmbcb9" w:colFirst="0" w:colLast="0"/>
      <w:bookmarkEnd w:id="37"/>
    </w:p>
    <w:p w:rsidR="00885929" w:rsidRDefault="007F469E">
      <w:pPr>
        <w:pStyle w:val="Titolo5"/>
        <w:rPr>
          <w:sz w:val="22"/>
          <w:szCs w:val="22"/>
        </w:rPr>
      </w:pPr>
      <w:bookmarkStart w:id="38" w:name="_mrwtyuuzg18h" w:colFirst="0" w:colLast="0"/>
      <w:bookmarkEnd w:id="38"/>
      <w:r>
        <w:rPr>
          <w:sz w:val="22"/>
          <w:szCs w:val="22"/>
        </w:rPr>
        <w:t xml:space="preserve">4.2 Analisi del contesto interno </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L'analisi del contesto interno si focalizza </w:t>
      </w:r>
      <w:r w:rsidRPr="006B5CC6">
        <w:rPr>
          <w:rFonts w:ascii="Titillium Web" w:eastAsia="Titillium Web" w:hAnsi="Titillium Web" w:cs="Titillium Web"/>
        </w:rPr>
        <w:t>sull'assetto organizzativo del Comune al 31.12.2025,</w:t>
      </w:r>
      <w:r>
        <w:rPr>
          <w:rFonts w:ascii="Titillium Web" w:eastAsia="Titillium Web" w:hAnsi="Titillium Web" w:cs="Titillium Web"/>
        </w:rPr>
        <w:t xml:space="preserve"> come di seguito riportato.</w:t>
      </w:r>
    </w:p>
    <w:p w:rsidR="00885929" w:rsidRDefault="007F469E">
      <w:pPr>
        <w:keepNext/>
        <w:spacing w:before="120" w:after="200" w:line="240" w:lineRule="auto"/>
        <w:jc w:val="both"/>
        <w:rPr>
          <w:rFonts w:ascii="Titillium Web" w:eastAsia="Titillium Web" w:hAnsi="Titillium Web" w:cs="Titillium Web"/>
          <w:highlight w:val="cyan"/>
        </w:rPr>
      </w:pPr>
      <w:r w:rsidRPr="006B5CC6">
        <w:rPr>
          <w:rFonts w:ascii="Titillium Web" w:eastAsia="Titillium Web" w:hAnsi="Titillium Web" w:cs="Titillium Web"/>
        </w:rPr>
        <w:t xml:space="preserve">La struttura organizzativa dell’ente - ripartita in </w:t>
      </w:r>
      <w:r w:rsidRPr="006B5CC6">
        <w:rPr>
          <w:rFonts w:ascii="Titillium Web" w:eastAsia="Titillium Web" w:hAnsi="Titillium Web" w:cs="Titillium Web"/>
          <w:b/>
          <w:bCs/>
        </w:rPr>
        <w:t xml:space="preserve">3 Settori </w:t>
      </w:r>
      <w:r w:rsidRPr="006B5CC6">
        <w:rPr>
          <w:rFonts w:ascii="Titillium Web" w:eastAsia="Titillium Web" w:hAnsi="Titillium Web" w:cs="Titillium Web"/>
        </w:rPr>
        <w:t xml:space="preserve">- viene descritta nella </w:t>
      </w:r>
      <w:r>
        <w:rPr>
          <w:rFonts w:ascii="Titillium Web" w:eastAsia="Titillium Web" w:hAnsi="Titillium Web" w:cs="Titillium Web"/>
          <w:b/>
          <w:bCs/>
          <w:highlight w:val="yellow"/>
          <w:u w:val="single"/>
        </w:rPr>
        <w:t>SEZIONE 3 del PIAO: ORGANIZZAZIONE E CAPITALE  UMANO</w:t>
      </w:r>
      <w:r>
        <w:rPr>
          <w:rFonts w:ascii="Titillium Web" w:eastAsia="Titillium Web" w:hAnsi="Titillium Web" w:cs="Titillium Web"/>
          <w:highlight w:val="cyan"/>
        </w:rPr>
        <w:t xml:space="preserve"> </w:t>
      </w:r>
    </w:p>
    <w:p w:rsidR="00885929" w:rsidRDefault="007F469E">
      <w:pPr>
        <w:keepNext/>
        <w:spacing w:before="120" w:after="200" w:line="240" w:lineRule="auto"/>
        <w:jc w:val="both"/>
        <w:rPr>
          <w:rFonts w:ascii="Titillium Web" w:eastAsia="Titillium Web" w:hAnsi="Titillium Web" w:cs="Titillium Web"/>
        </w:rPr>
      </w:pPr>
      <w:r>
        <w:rPr>
          <w:rFonts w:ascii="Titillium Web" w:eastAsia="Titillium Web" w:hAnsi="Titillium Web" w:cs="Titillium Web"/>
          <w:highlight w:val="white"/>
        </w:rPr>
        <w:t>Alcun</w:t>
      </w:r>
      <w:r w:rsidR="00A93ADE">
        <w:rPr>
          <w:rFonts w:ascii="Titillium Web" w:eastAsia="Titillium Web" w:hAnsi="Titillium Web" w:cs="Titillium Web"/>
          <w:highlight w:val="white"/>
        </w:rPr>
        <w:t>i</w:t>
      </w:r>
      <w:r>
        <w:rPr>
          <w:rFonts w:ascii="Titillium Web" w:eastAsia="Titillium Web" w:hAnsi="Titillium Web" w:cs="Titillium Web"/>
          <w:highlight w:val="white"/>
        </w:rPr>
        <w:t xml:space="preserve"> servizi comunali </w:t>
      </w:r>
      <w:r w:rsidR="00A93ADE">
        <w:rPr>
          <w:rFonts w:ascii="Titillium Web" w:eastAsia="Titillium Web" w:hAnsi="Titillium Web" w:cs="Titillium Web"/>
          <w:highlight w:val="white"/>
        </w:rPr>
        <w:t xml:space="preserve">– in particolar modo quelli sociali – sono </w:t>
      </w:r>
      <w:r>
        <w:rPr>
          <w:rFonts w:ascii="Titillium Web" w:eastAsia="Titillium Web" w:hAnsi="Titillium Web" w:cs="Titillium Web"/>
          <w:highlight w:val="white"/>
        </w:rPr>
        <w:t xml:space="preserve"> </w:t>
      </w:r>
      <w:r w:rsidR="00A93ADE">
        <w:rPr>
          <w:rFonts w:ascii="Titillium Web" w:eastAsia="Titillium Web" w:hAnsi="Titillium Web" w:cs="Titillium Web"/>
          <w:highlight w:val="white"/>
        </w:rPr>
        <w:t xml:space="preserve">gestiti dall’Ambito territoriale sociale 19 di Fermo </w:t>
      </w:r>
      <w:r>
        <w:rPr>
          <w:rFonts w:ascii="Titillium Web" w:eastAsia="Titillium Web" w:hAnsi="Titillium Web" w:cs="Titillium Web"/>
          <w:highlight w:val="white"/>
        </w:rPr>
        <w:t>(si rimanda alla medesima sezione 3).</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b/>
          <w:bCs/>
          <w:i/>
          <w:iCs/>
          <w:u w:val="single"/>
        </w:rPr>
        <w:t>Vincoli Dimensionali</w:t>
      </w:r>
      <w:r>
        <w:rPr>
          <w:rFonts w:ascii="Titillium Web" w:eastAsia="Titillium Web" w:hAnsi="Titillium Web" w:cs="Titillium Web"/>
        </w:rPr>
        <w:t>: L'esiguità dell'organico e l'infungibilità di molte figure (es. unici dipendenti responsabili servizi finanziari e tecnici, in convenzione con altri Comuni; unico agente di PL) rendono la rotazione ordinaria oggettivamente impossibile.</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b/>
          <w:bCs/>
          <w:i/>
          <w:iCs/>
          <w:u w:val="single"/>
        </w:rPr>
        <w:t>Assetto ICT</w:t>
      </w:r>
      <w:r>
        <w:rPr>
          <w:rFonts w:ascii="Titillium Web" w:eastAsia="Titillium Web" w:hAnsi="Titillium Web" w:cs="Titillium Web"/>
        </w:rPr>
        <w:t xml:space="preserve">: Il Responsabile per la Transizione Digitale (RTD) comunale, individuato nel </w:t>
      </w:r>
      <w:r w:rsidR="00A93ADE">
        <w:rPr>
          <w:rFonts w:ascii="Titillium Web" w:eastAsia="Titillium Web" w:hAnsi="Titillium Web" w:cs="Titillium Web"/>
        </w:rPr>
        <w:t>Responsabile dell’Ufficio Anagrafe/Amministrativo</w:t>
      </w:r>
      <w:r>
        <w:rPr>
          <w:rFonts w:ascii="Titillium Web" w:eastAsia="Titillium Web" w:hAnsi="Titillium Web" w:cs="Titillium Web"/>
        </w:rPr>
        <w:t>, opera con il supporto del SI</w:t>
      </w:r>
      <w:r w:rsidR="009D36E1">
        <w:rPr>
          <w:rFonts w:ascii="Titillium Web" w:eastAsia="Titillium Web" w:hAnsi="Titillium Web" w:cs="Titillium Web"/>
        </w:rPr>
        <w:t xml:space="preserve"> (Servizio Informativo)</w:t>
      </w:r>
      <w:r>
        <w:rPr>
          <w:rFonts w:ascii="Titillium Web" w:eastAsia="Titillium Web" w:hAnsi="Titillium Web" w:cs="Titillium Web"/>
        </w:rPr>
        <w:t xml:space="preserve"> d</w:t>
      </w:r>
      <w:r w:rsidR="00A93ADE">
        <w:rPr>
          <w:rFonts w:ascii="Titillium Web" w:eastAsia="Titillium Web" w:hAnsi="Titillium Web" w:cs="Titillium Web"/>
        </w:rPr>
        <w:t>ella società esterna che fornisce il software gestionale</w:t>
      </w:r>
      <w:r>
        <w:rPr>
          <w:rFonts w:ascii="Titillium Web" w:eastAsia="Titillium Web" w:hAnsi="Titillium Web" w:cs="Titillium Web"/>
        </w:rPr>
        <w:t>, per sopperire alla mancanza di specializzazione informatica interna (si rimanda a precedenti punti 2.3, oltre che a quanto precisato per gli obiettivi strategici di cui ai punti 3.1 e 3.2).</w:t>
      </w:r>
    </w:p>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4"/>
      </w:pPr>
      <w:bookmarkStart w:id="39" w:name="_warq1z2oeoer" w:colFirst="0" w:colLast="0"/>
      <w:bookmarkEnd w:id="39"/>
      <w:r>
        <w:t>5. ANALISI DEI RISCHI E MAPPATURA DEI PROCESSI (METODOLOGIA)</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Il processo di gestione del rischio si sviluppa attraverso le fasi di identificazione, analisi, ponderazione e trattamento dei rischi, come dettagliato </w:t>
      </w:r>
      <w:r w:rsidRPr="00062CCE">
        <w:rPr>
          <w:rFonts w:ascii="Titillium Web" w:eastAsia="Titillium Web" w:hAnsi="Titillium Web" w:cs="Titillium Web"/>
        </w:rPr>
        <w:t xml:space="preserve">nelle </w:t>
      </w:r>
      <w:r w:rsidRPr="00062CCE">
        <w:rPr>
          <w:rFonts w:ascii="Titillium Web" w:eastAsia="Titillium Web" w:hAnsi="Titillium Web" w:cs="Titillium Web"/>
          <w:b/>
          <w:bCs/>
          <w:i/>
          <w:iCs/>
          <w:u w:val="single"/>
        </w:rPr>
        <w:t>Tabelle A e B allegate</w:t>
      </w:r>
      <w:r w:rsidRPr="00062CCE">
        <w:rPr>
          <w:rFonts w:ascii="Titillium Web" w:eastAsia="Titillium Web" w:hAnsi="Titillium Web" w:cs="Titillium Web"/>
        </w:rPr>
        <w:t>.</w:t>
      </w:r>
    </w:p>
    <w:p w:rsidR="00885929" w:rsidRDefault="007F469E">
      <w:pPr>
        <w:pStyle w:val="Titolo5"/>
        <w:rPr>
          <w:sz w:val="22"/>
          <w:szCs w:val="22"/>
        </w:rPr>
      </w:pPr>
      <w:bookmarkStart w:id="40" w:name="_4y2uqlopqx56" w:colFirst="0" w:colLast="0"/>
      <w:bookmarkEnd w:id="40"/>
      <w:r>
        <w:rPr>
          <w:sz w:val="22"/>
          <w:szCs w:val="22"/>
        </w:rPr>
        <w:lastRenderedPageBreak/>
        <w:t>5.1 La mappatura dei processi (TAB. A).</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In conformità alle semplificazioni per i comuni sotto i 50 dipendenti (DM 132/2022), la mappatura non è onnicomprensiva ma </w:t>
      </w:r>
      <w:r>
        <w:rPr>
          <w:rFonts w:ascii="Titillium Web" w:eastAsia="Titillium Web" w:hAnsi="Titillium Web" w:cs="Titillium Web"/>
          <w:b/>
          <w:bCs/>
        </w:rPr>
        <w:t>si concentra su 7 Macro-Aree</w:t>
      </w:r>
      <w:r>
        <w:rPr>
          <w:rFonts w:ascii="Titillium Web" w:eastAsia="Titillium Web" w:hAnsi="Titillium Web" w:cs="Titillium Web"/>
        </w:rPr>
        <w:t xml:space="preserve"> che includono determinate aree obbligatorie (</w:t>
      </w:r>
      <w:r>
        <w:rPr>
          <w:rFonts w:ascii="Titillium Web" w:eastAsia="Titillium Web" w:hAnsi="Titillium Web" w:cs="Titillium Web"/>
          <w:i/>
          <w:iCs/>
        </w:rPr>
        <w:t>contratti pubblici, autorizzazioni, sovvenzioni)</w:t>
      </w:r>
      <w:r>
        <w:rPr>
          <w:rFonts w:ascii="Titillium Web" w:eastAsia="Titillium Web" w:hAnsi="Titillium Web" w:cs="Titillium Web"/>
        </w:rPr>
        <w:t>. Tale scelta mira a ridurre gli oneri burocratici, focalizzando l'attenzione sui processi che generano maggiore Valore Pubblico o sono più esposti a interessi economici.</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Per la mappatura dei processi è fondamentale il coinvolgimento dei responsabili Apicali (con l’aggiunta di dipendenti esperti/responsabili di procedimento), al fine di individuare gli elementi peculiari e i principali “flussi delle attività e dei processi”. </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In attuazione del principio della “gradualità”, l</w:t>
      </w:r>
      <w:r>
        <w:rPr>
          <w:rFonts w:ascii="Titillium Web" w:eastAsia="Titillium Web" w:hAnsi="Titillium Web" w:cs="Titillium Web"/>
          <w:u w:val="single"/>
        </w:rPr>
        <w:t>a mappatura di cui alla tabella A potrà essere perfezionata nel corso della vigenza del presente Piano (triennio 2026-28</w:t>
      </w:r>
      <w:r>
        <w:rPr>
          <w:rFonts w:ascii="Titillium Web" w:eastAsia="Titillium Web" w:hAnsi="Titillium Web" w:cs="Titillium Web"/>
        </w:rPr>
        <w:t xml:space="preserve">), dovendosi contestualmente sviluppare </w:t>
      </w:r>
      <w:r>
        <w:rPr>
          <w:rFonts w:ascii="Titillium Web" w:eastAsia="Titillium Web" w:hAnsi="Titillium Web" w:cs="Titillium Web"/>
          <w:b/>
          <w:bCs/>
        </w:rPr>
        <w:t>la DIGITALIZZAZIONE degli stessi processi</w:t>
      </w:r>
      <w:r>
        <w:rPr>
          <w:rFonts w:ascii="Titillium Web" w:eastAsia="Titillium Web" w:hAnsi="Titillium Web" w:cs="Titillium Web"/>
        </w:rPr>
        <w:t>. In sostanza deve evitarsi la mappatura dei processi soltanto a livello “cartaceo”, senza che la stessa sia correlata alla “concreta e pratica” digitalizzazione degli stessi.</w:t>
      </w:r>
    </w:p>
    <w:p w:rsidR="00885929" w:rsidRDefault="007F469E">
      <w:pPr>
        <w:pStyle w:val="Titolo5"/>
        <w:rPr>
          <w:sz w:val="22"/>
          <w:szCs w:val="22"/>
        </w:rPr>
      </w:pPr>
      <w:bookmarkStart w:id="41" w:name="_31devj76m5e" w:colFirst="0" w:colLast="0"/>
      <w:bookmarkEnd w:id="41"/>
      <w:r>
        <w:rPr>
          <w:sz w:val="22"/>
          <w:szCs w:val="22"/>
        </w:rPr>
        <w:t>5.2 Identificazione del rischio</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highlight w:val="white"/>
        </w:rPr>
        <w:t>Si ap</w:t>
      </w:r>
      <w:r>
        <w:rPr>
          <w:rFonts w:ascii="Titillium Web" w:eastAsia="Titillium Web" w:hAnsi="Titillium Web" w:cs="Titillium Web"/>
        </w:rPr>
        <w:t xml:space="preserve">plicano le seguenti metodologie per l’identificazione e l’analisi dei processi più rischiosi: </w:t>
      </w:r>
    </w:p>
    <w:p w:rsidR="00885929" w:rsidRDefault="007F469E">
      <w:pPr>
        <w:numPr>
          <w:ilvl w:val="0"/>
          <w:numId w:val="10"/>
        </w:num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partecipazione/contributi dei Responsabili apicali e altri loro collaboratori specialisti negli Uffici, con conoscenza diretta dei processi e quindi delle relative criticità; </w:t>
      </w:r>
    </w:p>
    <w:p w:rsidR="00885929" w:rsidRDefault="007F469E">
      <w:pPr>
        <w:numPr>
          <w:ilvl w:val="0"/>
          <w:numId w:val="10"/>
        </w:num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utilizzo dei risultati dell’analisi del contesto; </w:t>
      </w:r>
    </w:p>
    <w:p w:rsidR="00885929" w:rsidRDefault="007F469E">
      <w:pPr>
        <w:numPr>
          <w:ilvl w:val="0"/>
          <w:numId w:val="10"/>
        </w:num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utilizzo risultanze della mappatura dei processi; </w:t>
      </w:r>
    </w:p>
    <w:p w:rsidR="00885929" w:rsidRDefault="007F469E">
      <w:pPr>
        <w:numPr>
          <w:ilvl w:val="0"/>
          <w:numId w:val="10"/>
        </w:num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analisi di casi giudiziari e di altri episodi di corruzione o cattiva gestione accaduti in passato in altre amministrazioni o enti simili;  </w:t>
      </w:r>
    </w:p>
    <w:p w:rsidR="00885929" w:rsidRDefault="007F469E">
      <w:pPr>
        <w:numPr>
          <w:ilvl w:val="0"/>
          <w:numId w:val="10"/>
        </w:num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segnalazioni ricevute tramite il whistleblowing o con altre modalità. </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Sono stati individuati i fatti o comportamenti (eventi rischiosi) che potrebbero alterare l'imparzialità, come:</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i/>
          <w:iCs/>
        </w:rPr>
      </w:pPr>
      <w:r>
        <w:rPr>
          <w:rFonts w:ascii="Titillium Web" w:eastAsia="Titillium Web" w:hAnsi="Titillium Web" w:cs="Titillium Web"/>
          <w:i/>
          <w:iCs/>
        </w:rPr>
        <w:t>• Mancato utilizzo delle PAD certificate per gli appalti, per favorire operatori specifici.</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i/>
          <w:iCs/>
        </w:rPr>
      </w:pPr>
      <w:r>
        <w:rPr>
          <w:rFonts w:ascii="Titillium Web" w:eastAsia="Titillium Web" w:hAnsi="Titillium Web" w:cs="Titillium Web"/>
          <w:i/>
          <w:iCs/>
        </w:rPr>
        <w:t>• Eccessiva discrezionalità nelle varianti o nei controlli edilizi.</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i/>
          <w:iCs/>
        </w:rPr>
      </w:pPr>
      <w:r>
        <w:rPr>
          <w:rFonts w:ascii="Titillium Web" w:eastAsia="Titillium Web" w:hAnsi="Titillium Web" w:cs="Titillium Web"/>
          <w:i/>
          <w:iCs/>
        </w:rPr>
        <w:t>• Omissione di accertamenti tributari per interessi di parte.</w:t>
      </w:r>
    </w:p>
    <w:p w:rsidR="00885929" w:rsidRDefault="007F469E">
      <w:pPr>
        <w:pStyle w:val="Titolo5"/>
        <w:rPr>
          <w:sz w:val="22"/>
          <w:szCs w:val="22"/>
        </w:rPr>
      </w:pPr>
      <w:bookmarkStart w:id="42" w:name="_c6xaxu3m1nng" w:colFirst="0" w:colLast="0"/>
      <w:bookmarkEnd w:id="42"/>
      <w:r>
        <w:rPr>
          <w:sz w:val="22"/>
          <w:szCs w:val="22"/>
        </w:rPr>
        <w:t>5.3 Analisi e Ponderazione del rischio (TAB. B)</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L'analisi segue un approccio qualitativo motivato, utilizzando quattro indicatori principali:</w:t>
      </w:r>
    </w:p>
    <w:p w:rsidR="00885929" w:rsidRDefault="007F469E">
      <w:pPr>
        <w:numPr>
          <w:ilvl w:val="0"/>
          <w:numId w:val="4"/>
        </w:num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i/>
          <w:iCs/>
          <w:u w:val="single"/>
        </w:rPr>
        <w:t>Livello di interesse esterno</w:t>
      </w:r>
      <w:r>
        <w:rPr>
          <w:rFonts w:ascii="Titillium Web" w:eastAsia="Titillium Web" w:hAnsi="Titillium Web" w:cs="Titillium Web"/>
        </w:rPr>
        <w:t>: Alto per appalti ed edilizia.</w:t>
      </w:r>
    </w:p>
    <w:p w:rsidR="00885929" w:rsidRDefault="007F469E">
      <w:pPr>
        <w:numPr>
          <w:ilvl w:val="0"/>
          <w:numId w:val="4"/>
        </w:num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i/>
          <w:iCs/>
          <w:u w:val="single"/>
        </w:rPr>
        <w:lastRenderedPageBreak/>
        <w:t>Grado di discrezionalità</w:t>
      </w:r>
      <w:r>
        <w:rPr>
          <w:rFonts w:ascii="Titillium Web" w:eastAsia="Titillium Web" w:hAnsi="Titillium Web" w:cs="Titillium Web"/>
        </w:rPr>
        <w:t>: Alto laddove le norme lasciano margini di scelta tecnica (es. Area 3).</w:t>
      </w:r>
    </w:p>
    <w:p w:rsidR="00885929" w:rsidRDefault="007F469E">
      <w:pPr>
        <w:numPr>
          <w:ilvl w:val="0"/>
          <w:numId w:val="4"/>
        </w:num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i/>
          <w:iCs/>
          <w:u w:val="single"/>
        </w:rPr>
        <w:t>Trasparenza del processo:</w:t>
      </w:r>
      <w:r>
        <w:rPr>
          <w:rFonts w:ascii="Titillium Web" w:eastAsia="Titillium Web" w:hAnsi="Titillium Web" w:cs="Titillium Web"/>
        </w:rPr>
        <w:t xml:space="preserve"> Ora strettamente legata alla Digitalizzazione. L'uso obbligatorio delle PAD e del FVOE 2.0 agisce come fattore mitigante, riducendo il rischio da "Altissimo" ad "Alto" grazie alla tracciabilità di sistema.</w:t>
      </w:r>
    </w:p>
    <w:p w:rsidR="00885929" w:rsidRDefault="007F469E">
      <w:pPr>
        <w:numPr>
          <w:ilvl w:val="0"/>
          <w:numId w:val="4"/>
        </w:num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i/>
          <w:iCs/>
          <w:u w:val="single"/>
        </w:rPr>
        <w:t>Livello di collaborazione</w:t>
      </w:r>
      <w:r>
        <w:rPr>
          <w:rFonts w:ascii="Titillium Web" w:eastAsia="Titillium Web" w:hAnsi="Titillium Web" w:cs="Titillium Web"/>
        </w:rPr>
        <w:t>: Valutato in base alla tempestività dei Responsabili nel fornire i dati per il Piano.</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La ponderazione ha portato ad assegnare priorità di trattamento (Livello A) alle Aree 1 (Contratti), 3 (Edilizia/Patrimonio) e 7 (Entrate), stabilendo per queste misure specifiche di controllo.</w:t>
      </w:r>
    </w:p>
    <w:p w:rsidR="00885929" w:rsidRDefault="007F469E">
      <w:pPr>
        <w:pStyle w:val="Titolo5"/>
      </w:pPr>
      <w:bookmarkStart w:id="43" w:name="_su636dev30m1" w:colFirst="0" w:colLast="0"/>
      <w:bookmarkEnd w:id="43"/>
      <w:r>
        <w:t>5.4 Trattamento e Programmazione delle misure</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Il trattamento consiste nell'abbinare ai rischi individuati le misure più idonee, privilegiando quelle digitali ("meno carta e più sistema"). </w:t>
      </w:r>
    </w:p>
    <w:p w:rsidR="00885929" w:rsidRDefault="007F469E">
      <w:pPr>
        <w:spacing w:after="200" w:line="240" w:lineRule="auto"/>
        <w:jc w:val="both"/>
        <w:rPr>
          <w:rFonts w:ascii="Titillium Web" w:eastAsia="Titillium Web" w:hAnsi="Titillium Web" w:cs="Titillium Web"/>
          <w:i/>
          <w:iCs/>
        </w:rPr>
      </w:pPr>
      <w:r>
        <w:rPr>
          <w:rFonts w:ascii="Titillium Web" w:eastAsia="Titillium Web" w:hAnsi="Titillium Web" w:cs="Titillium Web"/>
          <w:b/>
          <w:bCs/>
          <w:u w:val="single"/>
        </w:rPr>
        <w:t xml:space="preserve">Le misure di prevenzione sono dettagliate nel successivo paragrafo 6 </w:t>
      </w:r>
      <w:r>
        <w:rPr>
          <w:rFonts w:ascii="Titillium Web" w:eastAsia="Titillium Web" w:hAnsi="Titillium Web" w:cs="Titillium Web"/>
          <w:b/>
          <w:bCs/>
          <w:i/>
          <w:iCs/>
          <w:sz w:val="20"/>
          <w:szCs w:val="20"/>
          <w:u w:val="single"/>
        </w:rPr>
        <w:t>(misure gen. dal n. 1 a n. 8).</w:t>
      </w:r>
    </w:p>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4"/>
      </w:pPr>
      <w:bookmarkStart w:id="44" w:name="_raxu1uid67fo" w:colFirst="0" w:colLast="0"/>
      <w:bookmarkEnd w:id="44"/>
      <w:r>
        <w:br w:type="page"/>
      </w:r>
    </w:p>
    <w:p w:rsidR="00885929" w:rsidRDefault="007F469E">
      <w:pPr>
        <w:pStyle w:val="Titolo4"/>
      </w:pPr>
      <w:bookmarkStart w:id="45" w:name="_6tnt1i2tskv3" w:colFirst="0" w:colLast="0"/>
      <w:bookmarkEnd w:id="45"/>
      <w:r>
        <w:lastRenderedPageBreak/>
        <w:t>6. LE MISURE DI PREVENZIONE GENERALI (2026-2028)</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In conformità alla strategia nazionale </w:t>
      </w:r>
      <w:r>
        <w:rPr>
          <w:rFonts w:ascii="Titillium Web" w:eastAsia="Titillium Web" w:hAnsi="Titillium Web" w:cs="Titillium Web"/>
          <w:i/>
          <w:iCs/>
          <w:u w:val="single"/>
        </w:rPr>
        <w:t>"meno carta e più sistema"</w:t>
      </w:r>
      <w:r>
        <w:rPr>
          <w:rFonts w:ascii="Titillium Web" w:eastAsia="Titillium Web" w:hAnsi="Titillium Web" w:cs="Titillium Web"/>
        </w:rPr>
        <w:t xml:space="preserve"> inaugurata dal PNA 2025, il Comune individua le seguenti misure generali che incidono in maniera trasversale sull'attività dell’intera amministrazione comunale. </w:t>
      </w:r>
    </w:p>
    <w:p w:rsidR="00885929" w:rsidRDefault="007F469E">
      <w:pPr>
        <w:pBdr>
          <w:top w:val="nil"/>
          <w:left w:val="nil"/>
          <w:bottom w:val="nil"/>
          <w:right w:val="nil"/>
          <w:between w:val="nil"/>
        </w:pBdr>
        <w:spacing w:after="200" w:line="240" w:lineRule="auto"/>
        <w:jc w:val="both"/>
      </w:pPr>
      <w:r>
        <w:rPr>
          <w:rFonts w:ascii="Titillium Web" w:eastAsia="Titillium Web" w:hAnsi="Titillium Web" w:cs="Titillium Web"/>
          <w:highlight w:val="yellow"/>
        </w:rPr>
        <w:t xml:space="preserve">Si specifica che </w:t>
      </w:r>
      <w:r>
        <w:rPr>
          <w:rFonts w:ascii="Titillium Web" w:eastAsia="Titillium Web" w:hAnsi="Titillium Web" w:cs="Titillium Web"/>
          <w:b/>
          <w:bCs/>
          <w:highlight w:val="yellow"/>
          <w:u w:val="single"/>
        </w:rPr>
        <w:t>gli obiettivi indicati nelle tabelline di ciascuna delle 8 misure sotto riportate, sono parte integrante del "PEG - Piano della Performance 2026-28"</w:t>
      </w:r>
      <w:r>
        <w:rPr>
          <w:rFonts w:ascii="Titillium Web" w:eastAsia="Titillium Web" w:hAnsi="Titillium Web" w:cs="Titillium Web"/>
          <w:highlight w:val="yellow"/>
        </w:rPr>
        <w:t xml:space="preserve"> del Segretario comunale, dei Responsabili di Elevate Qualificazioni (EQ) e di tutto il personale dipendente, configurandosi come obiettivi trasversali e di gruppo per il triennio 2026-2028.</w:t>
      </w:r>
    </w:p>
    <w:p w:rsidR="00885929" w:rsidRDefault="007F469E">
      <w:pPr>
        <w:pStyle w:val="Titolo5"/>
        <w:rPr>
          <w:sz w:val="20"/>
          <w:szCs w:val="20"/>
        </w:rPr>
      </w:pPr>
      <w:bookmarkStart w:id="46" w:name="_4nuoljl55qxu" w:colFirst="0" w:colLast="0"/>
      <w:bookmarkEnd w:id="46"/>
      <w:r>
        <w:rPr>
          <w:sz w:val="20"/>
          <w:szCs w:val="20"/>
        </w:rPr>
        <w:t>MISURA GEN N. 1 - TRASPARENZA E PUBBLICAZIONE DATI IN AMMINISTRAZIONE TRASPARENTE</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La trasparenza è intesa come accessibilità totale ai dati e documenti detenuti dall'amministrazione per favorire forme diffuse di controllo sul perseguimento delle funzioni istituzionali. </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b/>
          <w:bCs/>
        </w:rPr>
        <w:t xml:space="preserve">La misura della trasparenza riguarda l'intero spettro degli obblighi previsti dal D.lgs. 33/2013 </w:t>
      </w:r>
      <w:r>
        <w:rPr>
          <w:rFonts w:ascii="Titillium Web" w:eastAsia="Titillium Web" w:hAnsi="Titillium Web" w:cs="Titillium Web"/>
        </w:rPr>
        <w:t xml:space="preserve">ed il riferimento operativo per l'attuazione di questa misura è la </w:t>
      </w:r>
      <w:r>
        <w:rPr>
          <w:rFonts w:ascii="Titillium Web" w:eastAsia="Titillium Web" w:hAnsi="Titillium Web" w:cs="Titillium Web"/>
          <w:highlight w:val="yellow"/>
          <w:u w:val="single"/>
        </w:rPr>
        <w:t>TABELLA C</w:t>
      </w:r>
      <w:r>
        <w:rPr>
          <w:rFonts w:ascii="Titillium Web" w:eastAsia="Titillium Web" w:hAnsi="Titillium Web" w:cs="Titillium Web"/>
        </w:rPr>
        <w:t xml:space="preserve"> allegata al presente Piano.</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Con riferimento specifico alla </w:t>
      </w:r>
      <w:r>
        <w:rPr>
          <w:rFonts w:ascii="Titillium Web" w:eastAsia="Titillium Web" w:hAnsi="Titillium Web" w:cs="Titillium Web"/>
          <w:b/>
          <w:bCs/>
        </w:rPr>
        <w:t>trasparenza per le procedure di appalto (che è una delle priorità strategiche: si rimanda al precedente punto 3.2)</w:t>
      </w:r>
      <w:r>
        <w:rPr>
          <w:rFonts w:ascii="Titillium Web" w:eastAsia="Titillium Web" w:hAnsi="Titillium Web" w:cs="Titillium Web"/>
        </w:rPr>
        <w:t xml:space="preserve">, per il triennio 2026-28 il Comune deve puntare alla centralizzazione della trasparenza tramite l'interoperabilità con la BDNCP. </w:t>
      </w:r>
    </w:p>
    <w:tbl>
      <w:tblPr>
        <w:tblStyle w:val="a"/>
        <w:tblW w:w="9420"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2085"/>
        <w:gridCol w:w="7335"/>
      </w:tblGrid>
      <w:tr w:rsidR="00885929">
        <w:trPr>
          <w:trHeight w:val="875"/>
        </w:trPr>
        <w:tc>
          <w:tcPr>
            <w:tcW w:w="9420"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b/>
                <w:bCs/>
                <w:i/>
                <w:iCs/>
                <w:sz w:val="20"/>
                <w:szCs w:val="20"/>
                <w:u w:val="single"/>
              </w:rPr>
            </w:pPr>
            <w:r>
              <w:rPr>
                <w:rFonts w:ascii="Titillium Web" w:eastAsia="Titillium Web" w:hAnsi="Titillium Web" w:cs="Titillium Web"/>
                <w:b/>
                <w:bCs/>
                <w:sz w:val="20"/>
                <w:szCs w:val="20"/>
              </w:rPr>
              <w:t xml:space="preserve">TABELLA OPERATIVA </w:t>
            </w:r>
            <w:r>
              <w:rPr>
                <w:rFonts w:ascii="Titillium Web" w:eastAsia="Titillium Web" w:hAnsi="Titillium Web" w:cs="Titillium Web"/>
                <w:b/>
                <w:bCs/>
                <w:i/>
                <w:iCs/>
                <w:sz w:val="20"/>
                <w:szCs w:val="20"/>
                <w:u w:val="single"/>
              </w:rPr>
              <w:t>MISURA N.1 - TRASPARENZA E PUBBLICAZIONE DATI IN A.T. (D.LGS. 33/2013)</w:t>
            </w:r>
          </w:p>
        </w:tc>
      </w:tr>
      <w:tr w:rsidR="00885929" w:rsidTr="00062CCE">
        <w:trPr>
          <w:trHeight w:val="930"/>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733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Pubblicazioni effettuate in AT con SW datato, che non facilita l’automazione del caricamento dei dati.</w:t>
            </w:r>
          </w:p>
        </w:tc>
      </w:tr>
      <w:tr w:rsidR="00885929" w:rsidTr="00062CCE">
        <w:trPr>
          <w:trHeight w:val="1625"/>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733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il funzionamento delle pubblicazioni in AT può essere migliorato se il Comune si dota di un SW aggiornato ed integrato che possa facilitare il caricamento automatico dei dati. </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In ogni caso, la misura della “trasparenza” va costantemente attuata organizzando e presidiando - da parte di tutti i Responsabili di Settore - la corretta e tempestiva pubblicazione dei dati previsti dal D.33/2013 nel sito WEB nella sezione AT.</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PRIORITA’: Assolvimento obblighi </w:t>
            </w:r>
            <w:r>
              <w:rPr>
                <w:rFonts w:ascii="Titillium Web" w:eastAsia="Titillium Web" w:hAnsi="Titillium Web" w:cs="Titillium Web"/>
                <w:b/>
                <w:bCs/>
                <w:sz w:val="20"/>
                <w:szCs w:val="20"/>
              </w:rPr>
              <w:t>pubblicazione contratti tramite link ipertestuale alla BDNCP;</w:t>
            </w:r>
            <w:r>
              <w:rPr>
                <w:rFonts w:ascii="Titillium Web" w:eastAsia="Titillium Web" w:hAnsi="Titillium Web" w:cs="Titillium Web"/>
                <w:sz w:val="20"/>
                <w:szCs w:val="20"/>
              </w:rPr>
              <w:t xml:space="preserve"> aggiornamento tempestivo (entro 15 gg) per tutti gli altri dati ex </w:t>
            </w:r>
            <w:proofErr w:type="spellStart"/>
            <w:r>
              <w:rPr>
                <w:rFonts w:ascii="Titillium Web" w:eastAsia="Titillium Web" w:hAnsi="Titillium Web" w:cs="Titillium Web"/>
                <w:sz w:val="20"/>
                <w:szCs w:val="20"/>
              </w:rPr>
              <w:t>D.lgs</w:t>
            </w:r>
            <w:proofErr w:type="spellEnd"/>
            <w:r>
              <w:rPr>
                <w:rFonts w:ascii="Titillium Web" w:eastAsia="Titillium Web" w:hAnsi="Titillium Web" w:cs="Titillium Web"/>
                <w:sz w:val="20"/>
                <w:szCs w:val="20"/>
              </w:rPr>
              <w:t xml:space="preserve"> 33/2013.</w:t>
            </w:r>
          </w:p>
        </w:tc>
      </w:tr>
      <w:tr w:rsidR="00885929" w:rsidTr="00062CCE">
        <w:trPr>
          <w:trHeight w:val="975"/>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lastRenderedPageBreak/>
              <w:t>Monitoraggio previsto 2026-28</w:t>
            </w:r>
          </w:p>
        </w:tc>
        <w:tc>
          <w:tcPr>
            <w:tcW w:w="733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Verifica almeno annuale del RPCT sul rispetto degli obblighi di pubblicazione in AT; attestazione annuale del Nucleo di Valutazione.</w:t>
            </w:r>
          </w:p>
        </w:tc>
      </w:tr>
    </w:tbl>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5"/>
        <w:rPr>
          <w:sz w:val="22"/>
          <w:szCs w:val="22"/>
        </w:rPr>
      </w:pPr>
      <w:bookmarkStart w:id="47" w:name="_68wva1fb2zaq" w:colFirst="0" w:colLast="0"/>
      <w:bookmarkEnd w:id="47"/>
      <w:r>
        <w:rPr>
          <w:sz w:val="22"/>
          <w:szCs w:val="22"/>
        </w:rPr>
        <w:t>MISURA GEN N. 2 - FORMAZIONE DEI DIPENDENTI</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b/>
          <w:bCs/>
        </w:rPr>
        <w:t>La formazione è la leva strategica per il cambiamento culturale nella P.A.</w:t>
      </w:r>
      <w:r>
        <w:rPr>
          <w:rFonts w:ascii="Titillium Web" w:eastAsia="Titillium Web" w:hAnsi="Titillium Web" w:cs="Titillium Web"/>
        </w:rPr>
        <w:t xml:space="preserve">, richiesto dal PNA del gennaio 2026, oltre che dalla </w:t>
      </w:r>
      <w:r>
        <w:rPr>
          <w:rFonts w:ascii="Titillium Web" w:eastAsia="Titillium Web" w:hAnsi="Titillium Web" w:cs="Titillium Web"/>
          <w:b/>
          <w:bCs/>
        </w:rPr>
        <w:t>“direttiva Zangrillo” del 2025 che ha imposto l’obbligo di far svolgere a ciascun dipendente pubblico almeno 40 ore di formazione all’anno</w:t>
      </w:r>
      <w:r>
        <w:rPr>
          <w:rFonts w:ascii="Titillium Web" w:eastAsia="Titillium Web" w:hAnsi="Titillium Web" w:cs="Titillium Web"/>
        </w:rPr>
        <w:t>.</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Quanto sopra vale anche per un piccolo Comune come quello di </w:t>
      </w:r>
      <w:r w:rsidR="009D36E1">
        <w:rPr>
          <w:rFonts w:ascii="Titillium Web" w:eastAsia="Titillium Web" w:hAnsi="Titillium Web" w:cs="Titillium Web"/>
        </w:rPr>
        <w:t>Monte Giberto</w:t>
      </w:r>
      <w:r>
        <w:rPr>
          <w:rFonts w:ascii="Titillium Web" w:eastAsia="Titillium Web" w:hAnsi="Titillium Web" w:cs="Titillium Web"/>
        </w:rPr>
        <w:t>, dotato di esigue risorse umane.</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Pertanto si prevede - per il triennio 2026-28 - di fare svolgere attività formative al personale, secondo un </w:t>
      </w:r>
      <w:r>
        <w:rPr>
          <w:rFonts w:ascii="Titillium Web" w:eastAsia="Titillium Web" w:hAnsi="Titillium Web" w:cs="Titillium Web"/>
          <w:b/>
          <w:bCs/>
          <w:i/>
          <w:iCs/>
          <w:u w:val="single"/>
        </w:rPr>
        <w:t>PIANO DI FORMAZIONE</w:t>
      </w:r>
      <w:r>
        <w:rPr>
          <w:rFonts w:ascii="Titillium Web" w:eastAsia="Titillium Web" w:hAnsi="Titillium Web" w:cs="Titillium Web"/>
        </w:rPr>
        <w:t xml:space="preserve"> (predisposto ad inizio anno, contestualmente al PIAO, dal Segretario comunale con la collaborazione dei Responsabili EQ), prevedendo che lo stesso sia personalizzato/perfezionato “in itinere” con l’attiva collaborazione degli stessi dipendenti fruitori della formazione. </w:t>
      </w:r>
    </w:p>
    <w:p w:rsidR="00885929" w:rsidRDefault="007F469E">
      <w:pPr>
        <w:spacing w:after="200" w:line="240" w:lineRule="auto"/>
        <w:jc w:val="both"/>
        <w:rPr>
          <w:rFonts w:ascii="Titillium Web" w:eastAsia="Titillium Web" w:hAnsi="Titillium Web" w:cs="Titillium Web"/>
          <w:i/>
          <w:iCs/>
          <w:color w:val="001D35"/>
        </w:rPr>
      </w:pPr>
      <w:r>
        <w:rPr>
          <w:rFonts w:ascii="Titillium Web" w:eastAsia="Titillium Web" w:hAnsi="Titillium Web" w:cs="Titillium Web"/>
        </w:rPr>
        <w:t xml:space="preserve">Il predetto PIANO DI FORMAZIONE deve tener conto delle esigenze formative di aggiornamento professionale di ciascun dipendente (in relazione al profilo professionale ed ai servizi/attività assegnate), </w:t>
      </w:r>
      <w:r w:rsidR="00E07952">
        <w:rPr>
          <w:rFonts w:ascii="Titillium Web" w:eastAsia="Titillium Web" w:hAnsi="Titillium Web" w:cs="Titillium Web"/>
        </w:rPr>
        <w:t>nonché</w:t>
      </w:r>
      <w:bookmarkStart w:id="48" w:name="_GoBack"/>
      <w:bookmarkEnd w:id="48"/>
      <w:r>
        <w:rPr>
          <w:rFonts w:ascii="Titillium Web" w:eastAsia="Titillium Web" w:hAnsi="Titillium Web" w:cs="Titillium Web"/>
        </w:rPr>
        <w:t xml:space="preserve"> di alcune </w:t>
      </w:r>
      <w:r>
        <w:rPr>
          <w:rFonts w:ascii="Titillium Web" w:eastAsia="Titillium Web" w:hAnsi="Titillium Web" w:cs="Titillium Web"/>
          <w:i/>
          <w:iCs/>
          <w:u w:val="single"/>
        </w:rPr>
        <w:t>aree formative obbligatorie</w:t>
      </w:r>
      <w:r>
        <w:rPr>
          <w:rFonts w:ascii="Titillium Web" w:eastAsia="Titillium Web" w:hAnsi="Titillium Web" w:cs="Titillium Web"/>
        </w:rPr>
        <w:t xml:space="preserve"> che si indicano nelle seguenti: </w:t>
      </w:r>
      <w:r>
        <w:rPr>
          <w:rFonts w:ascii="Titillium Web" w:eastAsia="Titillium Web" w:hAnsi="Titillium Web" w:cs="Titillium Web"/>
          <w:i/>
          <w:iCs/>
          <w:color w:val="001D35"/>
        </w:rPr>
        <w:t>digitalizzazione della P.A. in generale; digitalizzazione ciclo di vita dei contratti di appalto,  anticorruzione e trasparenza.</w:t>
      </w:r>
    </w:p>
    <w:p w:rsidR="00885929" w:rsidRDefault="007F469E">
      <w:pPr>
        <w:spacing w:after="200" w:line="240" w:lineRule="auto"/>
        <w:jc w:val="both"/>
        <w:rPr>
          <w:rFonts w:ascii="Titillium Web" w:eastAsia="Titillium Web" w:hAnsi="Titillium Web" w:cs="Titillium Web"/>
          <w:b/>
          <w:bCs/>
          <w:color w:val="001D35"/>
          <w:highlight w:val="yellow"/>
        </w:rPr>
      </w:pPr>
      <w:r>
        <w:rPr>
          <w:rFonts w:ascii="Titillium Web" w:eastAsia="Titillium Web" w:hAnsi="Titillium Web" w:cs="Titillium Web"/>
          <w:b/>
          <w:bCs/>
          <w:color w:val="001D35"/>
        </w:rPr>
        <w:t>LA FORMAZIONE PER I NUOVI ASSUNTI deve essere pianificata, realizzata e verificata.</w:t>
      </w:r>
      <w:r>
        <w:rPr>
          <w:rFonts w:ascii="Titillium Web" w:eastAsia="Titillium Web" w:hAnsi="Titillium Web" w:cs="Titillium Web"/>
          <w:b/>
          <w:bCs/>
          <w:color w:val="001D35"/>
          <w:highlight w:val="yellow"/>
        </w:rPr>
        <w:t xml:space="preserve"> </w:t>
      </w:r>
    </w:p>
    <w:tbl>
      <w:tblPr>
        <w:tblStyle w:val="a0"/>
        <w:tblW w:w="9025"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2085"/>
        <w:gridCol w:w="6940"/>
      </w:tblGrid>
      <w:tr w:rsidR="00885929">
        <w:trPr>
          <w:trHeight w:val="600"/>
        </w:trPr>
        <w:tc>
          <w:tcPr>
            <w:tcW w:w="902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rPr>
            </w:pPr>
            <w:r>
              <w:rPr>
                <w:rFonts w:ascii="Titillium Web" w:eastAsia="Titillium Web" w:hAnsi="Titillium Web" w:cs="Titillium Web"/>
                <w:b/>
                <w:bCs/>
              </w:rPr>
              <w:t xml:space="preserve">TABELLA OPERATIVA </w:t>
            </w:r>
            <w:r>
              <w:rPr>
                <w:rFonts w:ascii="Titillium Web" w:eastAsia="Titillium Web" w:hAnsi="Titillium Web" w:cs="Titillium Web"/>
                <w:b/>
                <w:bCs/>
                <w:i/>
                <w:iCs/>
                <w:u w:val="single"/>
              </w:rPr>
              <w:t>MISURA N.2 - FORMAZIONE DEI DIPENDENTI</w:t>
            </w:r>
          </w:p>
        </w:tc>
      </w:tr>
      <w:tr w:rsidR="00885929" w:rsidTr="00062CCE">
        <w:trPr>
          <w:trHeight w:val="945"/>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694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Il personale ha svolto della formazione in assenza di uno specifico piano della formazione. La formazione svolta nell’anno 2025 verrà attestata da tutti i dipendenti in appositi Report che verranno trasmessi al NDV.</w:t>
            </w:r>
          </w:p>
        </w:tc>
      </w:tr>
      <w:tr w:rsidR="00885929" w:rsidTr="00062CCE">
        <w:trPr>
          <w:trHeight w:val="2325"/>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694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Si prevede che un Piano di formazione annuale venga predisposto ed attuato, con responsabilizzazione dei </w:t>
            </w:r>
            <w:proofErr w:type="spellStart"/>
            <w:r>
              <w:rPr>
                <w:rFonts w:ascii="Titillium Web" w:eastAsia="Titillium Web" w:hAnsi="Titillium Web" w:cs="Titillium Web"/>
                <w:sz w:val="20"/>
                <w:szCs w:val="20"/>
              </w:rPr>
              <w:t>Resp.Po</w:t>
            </w:r>
            <w:proofErr w:type="spellEnd"/>
            <w:r>
              <w:rPr>
                <w:rFonts w:ascii="Titillium Web" w:eastAsia="Titillium Web" w:hAnsi="Titillium Web" w:cs="Titillium Web"/>
                <w:sz w:val="20"/>
                <w:szCs w:val="20"/>
              </w:rPr>
              <w:t xml:space="preserve"> e dei dipendenti, coinvolti per raggiungere l’obiettivo delle 40 ore annuali di formazione su argomenti di concreto interesse per lo sviluppo professionale e per il miglioramento dei servizi. Alcune aree di formazione sono obbligatorie: </w:t>
            </w:r>
            <w:r>
              <w:rPr>
                <w:rFonts w:ascii="Titillium Web" w:eastAsia="Titillium Web" w:hAnsi="Titillium Web" w:cs="Titillium Web"/>
                <w:i/>
                <w:iCs/>
                <w:color w:val="001D35"/>
                <w:sz w:val="20"/>
                <w:szCs w:val="20"/>
              </w:rPr>
              <w:t>digitalizzazione della P.A. in generale; digitalizzazione ciclo di vita dei contratti di appalto (solo chi si occupa di affidamenti di appalti), sicurezza sul lavoro, protezione dati personali (solo chi lavora con PC), anticorruzione e trasparenza.</w:t>
            </w:r>
          </w:p>
        </w:tc>
      </w:tr>
      <w:tr w:rsidR="00885929" w:rsidTr="00062CCE">
        <w:trPr>
          <w:trHeight w:val="2148"/>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lastRenderedPageBreak/>
              <w:t>Monitoraggio previsto 2026-28</w:t>
            </w:r>
          </w:p>
        </w:tc>
        <w:tc>
          <w:tcPr>
            <w:tcW w:w="694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verifica formazione pianificata e svolta per i NUOVI ASSUNTI.</w:t>
            </w:r>
          </w:p>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verifica semestrale dell’andamento del piano formativo annuale.</w:t>
            </w:r>
          </w:p>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report annuale a conclusione della formazione svolta (da parte dei dipendenti al segretario e da parte del segretario al NDV)</w:t>
            </w:r>
          </w:p>
        </w:tc>
      </w:tr>
    </w:tbl>
    <w:p w:rsidR="00885929" w:rsidRDefault="007F469E">
      <w:pPr>
        <w:pStyle w:val="Titolo5"/>
        <w:rPr>
          <w:sz w:val="22"/>
          <w:szCs w:val="22"/>
        </w:rPr>
      </w:pPr>
      <w:bookmarkStart w:id="49" w:name="_474ozg6k8rzg" w:colFirst="0" w:colLast="0"/>
      <w:bookmarkEnd w:id="49"/>
      <w:r>
        <w:rPr>
          <w:sz w:val="22"/>
          <w:szCs w:val="22"/>
        </w:rPr>
        <w:t>MISURA GEN N. 3 -  CONTROLLI INTERNI SUCCESSIVI SUGLI ATTI AMM.VI</w:t>
      </w:r>
    </w:p>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Questa misura, fondamentale per la regolarità amministrativa e contabile, è esercitata dal Segretario Comunale ai sensi dell'art. 147-bis del TUEL. I controlli successivi sugli atti sono finalizzati a rilevare anomalie postume e garantire la legittimità dell'azione amministrativa. Il Segretario provvederà all'adozione di una specifica Circolare Operativa </w:t>
      </w:r>
      <w:r>
        <w:rPr>
          <w:rFonts w:ascii="Titillium Web" w:eastAsia="Titillium Web" w:hAnsi="Titillium Web" w:cs="Titillium Web"/>
          <w:i/>
          <w:iCs/>
          <w:u w:val="single"/>
        </w:rPr>
        <w:t>("Piano dei Controlli successivi sugli atti")</w:t>
      </w:r>
      <w:r>
        <w:rPr>
          <w:rFonts w:ascii="Titillium Web" w:eastAsia="Titillium Web" w:hAnsi="Titillium Web" w:cs="Titillium Web"/>
        </w:rPr>
        <w:t xml:space="preserve"> che definirà campionamento, tempistiche e modalità di verifica.</w:t>
      </w:r>
    </w:p>
    <w:tbl>
      <w:tblPr>
        <w:tblStyle w:val="a1"/>
        <w:tblW w:w="9553"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2368"/>
        <w:gridCol w:w="6940"/>
        <w:gridCol w:w="245"/>
      </w:tblGrid>
      <w:tr w:rsidR="00885929" w:rsidTr="00B72A10">
        <w:trPr>
          <w:gridAfter w:val="1"/>
          <w:wAfter w:w="245" w:type="dxa"/>
          <w:trHeight w:val="630"/>
        </w:trPr>
        <w:tc>
          <w:tcPr>
            <w:tcW w:w="9308"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sz w:val="20"/>
                <w:szCs w:val="20"/>
              </w:rPr>
            </w:pPr>
            <w:r>
              <w:rPr>
                <w:rFonts w:ascii="Titillium Web" w:eastAsia="Titillium Web" w:hAnsi="Titillium Web" w:cs="Titillium Web"/>
                <w:b/>
                <w:bCs/>
                <w:sz w:val="20"/>
                <w:szCs w:val="20"/>
              </w:rPr>
              <w:t xml:space="preserve">TABELLA OPERATIVA </w:t>
            </w:r>
            <w:r>
              <w:rPr>
                <w:rFonts w:ascii="Titillium Web" w:eastAsia="Titillium Web" w:hAnsi="Titillium Web" w:cs="Titillium Web"/>
                <w:b/>
                <w:bCs/>
                <w:i/>
                <w:iCs/>
                <w:sz w:val="20"/>
                <w:szCs w:val="20"/>
                <w:u w:val="single"/>
              </w:rPr>
              <w:t>MISURA N. 3 -  CONTROLLI SUCCESSIVI SUGLI ATTI AMM.VI</w:t>
            </w:r>
          </w:p>
        </w:tc>
      </w:tr>
      <w:tr w:rsidR="00885929" w:rsidTr="00B72A10">
        <w:trPr>
          <w:trHeight w:val="748"/>
        </w:trPr>
        <w:tc>
          <w:tcPr>
            <w:tcW w:w="2368"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718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rsidP="006C242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i controlli successivi sugli atti </w:t>
            </w:r>
            <w:r w:rsidR="006C242E">
              <w:rPr>
                <w:rFonts w:ascii="Titillium Web" w:eastAsia="Titillium Web" w:hAnsi="Titillium Web" w:cs="Titillium Web"/>
                <w:sz w:val="20"/>
                <w:szCs w:val="20"/>
              </w:rPr>
              <w:t>sono</w:t>
            </w:r>
            <w:r>
              <w:rPr>
                <w:rFonts w:ascii="Titillium Web" w:eastAsia="Titillium Web" w:hAnsi="Titillium Web" w:cs="Titillium Web"/>
                <w:sz w:val="20"/>
                <w:szCs w:val="20"/>
              </w:rPr>
              <w:t xml:space="preserve"> stati</w:t>
            </w:r>
            <w:r w:rsidR="006C242E">
              <w:rPr>
                <w:rFonts w:ascii="Titillium Web" w:eastAsia="Titillium Web" w:hAnsi="Titillium Web" w:cs="Titillium Web"/>
                <w:sz w:val="20"/>
                <w:szCs w:val="20"/>
              </w:rPr>
              <w:t xml:space="preserve"> regolarmente</w:t>
            </w:r>
            <w:r>
              <w:rPr>
                <w:rFonts w:ascii="Titillium Web" w:eastAsia="Titillium Web" w:hAnsi="Titillium Web" w:cs="Titillium Web"/>
                <w:sz w:val="20"/>
                <w:szCs w:val="20"/>
              </w:rPr>
              <w:t xml:space="preserve"> svolti.</w:t>
            </w:r>
          </w:p>
        </w:tc>
      </w:tr>
      <w:tr w:rsidR="00885929" w:rsidTr="00B72A10">
        <w:trPr>
          <w:trHeight w:val="1203"/>
        </w:trPr>
        <w:tc>
          <w:tcPr>
            <w:tcW w:w="2368"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718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svolgere i controlli successivi da parte del segretario (qualora in servizio presso il Comune), previo apposito “PIANO DEI CONTROLLI SUCCESSIVI”, almeno con cadenza semestrale.</w:t>
            </w:r>
          </w:p>
        </w:tc>
      </w:tr>
      <w:tr w:rsidR="00885929" w:rsidTr="00B72A10">
        <w:trPr>
          <w:trHeight w:val="960"/>
        </w:trPr>
        <w:tc>
          <w:tcPr>
            <w:tcW w:w="2368"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Monitoraggio previsto 2026-28</w:t>
            </w:r>
          </w:p>
        </w:tc>
        <w:tc>
          <w:tcPr>
            <w:tcW w:w="718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Relazione semestrale del Segretario trasmessa alla Giunta e al Nucleo di Valutazione.</w:t>
            </w:r>
          </w:p>
        </w:tc>
      </w:tr>
    </w:tbl>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5"/>
        <w:rPr>
          <w:sz w:val="22"/>
          <w:szCs w:val="22"/>
        </w:rPr>
      </w:pPr>
      <w:bookmarkStart w:id="50" w:name="_l4a4v8o4zear" w:colFirst="0" w:colLast="0"/>
      <w:bookmarkEnd w:id="50"/>
      <w:r>
        <w:rPr>
          <w:sz w:val="22"/>
          <w:szCs w:val="22"/>
        </w:rPr>
        <w:t>MISURA GEN N. 4 - CODICE DI COMPORTAMENTO</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Il Codice di comportamento costituisce lo strumento principale per regolare le condotte dei dipendenti e orientarle alla cura dell'interesse pubblico. Il Comune ha recepito le novità del DPR 81/2023, con particolare riguardo all'utilizzo dei social media e delle risorse informatiche, nonché alle condotte per la tutela dell'immagine della PA.</w:t>
      </w:r>
    </w:p>
    <w:tbl>
      <w:tblPr>
        <w:tblStyle w:val="a2"/>
        <w:tblW w:w="9030"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1980"/>
        <w:gridCol w:w="7050"/>
      </w:tblGrid>
      <w:tr w:rsidR="00885929">
        <w:trPr>
          <w:trHeight w:val="570"/>
        </w:trPr>
        <w:tc>
          <w:tcPr>
            <w:tcW w:w="9030"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sz w:val="20"/>
                <w:szCs w:val="20"/>
              </w:rPr>
            </w:pPr>
            <w:r>
              <w:rPr>
                <w:rFonts w:ascii="Titillium Web" w:eastAsia="Titillium Web" w:hAnsi="Titillium Web" w:cs="Titillium Web"/>
                <w:b/>
                <w:bCs/>
                <w:sz w:val="20"/>
                <w:szCs w:val="20"/>
              </w:rPr>
              <w:t xml:space="preserve">TABELLA OPERATIVA </w:t>
            </w:r>
            <w:r>
              <w:rPr>
                <w:rFonts w:ascii="Titillium Web" w:eastAsia="Titillium Web" w:hAnsi="Titillium Web" w:cs="Titillium Web"/>
                <w:b/>
                <w:bCs/>
                <w:i/>
                <w:iCs/>
                <w:sz w:val="20"/>
                <w:szCs w:val="20"/>
                <w:u w:val="single"/>
              </w:rPr>
              <w:t>MISURA N. 4 - CODICE DI COMPORTAMENTO</w:t>
            </w:r>
          </w:p>
        </w:tc>
      </w:tr>
      <w:tr w:rsidR="00885929">
        <w:trPr>
          <w:trHeight w:val="525"/>
        </w:trPr>
        <w:tc>
          <w:tcPr>
            <w:tcW w:w="198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705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Codice di comportamento comunale aggiornato nel 2023; </w:t>
            </w:r>
          </w:p>
        </w:tc>
      </w:tr>
      <w:tr w:rsidR="00885929">
        <w:trPr>
          <w:trHeight w:val="1663"/>
        </w:trPr>
        <w:tc>
          <w:tcPr>
            <w:tcW w:w="198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lastRenderedPageBreak/>
              <w:t>Obiettivo 2026-28</w:t>
            </w:r>
          </w:p>
        </w:tc>
        <w:tc>
          <w:tcPr>
            <w:tcW w:w="705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necessità di maggiore sensibilizzazione dei dipendenti sui comportamenti cui sono tenuti e sulle sanzioni correlate per eventuali violazioni.</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Diffusione capillare e verifica della conoscenza del Codice in occasione della formazione annuale;</w:t>
            </w:r>
          </w:p>
        </w:tc>
      </w:tr>
      <w:tr w:rsidR="00885929">
        <w:trPr>
          <w:trHeight w:val="1098"/>
        </w:trPr>
        <w:tc>
          <w:tcPr>
            <w:tcW w:w="198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Monitoraggio previsto 2026-28</w:t>
            </w:r>
          </w:p>
        </w:tc>
        <w:tc>
          <w:tcPr>
            <w:tcW w:w="705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sz w:val="20"/>
                <w:szCs w:val="20"/>
              </w:rPr>
            </w:pPr>
            <w:r>
              <w:rPr>
                <w:rFonts w:ascii="Titillium Web" w:eastAsia="Titillium Web" w:hAnsi="Titillium Web" w:cs="Titillium Web"/>
                <w:sz w:val="20"/>
                <w:szCs w:val="20"/>
              </w:rPr>
              <w:t>Verifica diffusione e conoscenza del Codice da parte dei dipendenti, almeno una volta l’anno, in occasione di apposito incontro formativo con il segretario.</w:t>
            </w:r>
          </w:p>
        </w:tc>
      </w:tr>
    </w:tbl>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5"/>
        <w:rPr>
          <w:sz w:val="22"/>
          <w:szCs w:val="22"/>
        </w:rPr>
      </w:pPr>
      <w:bookmarkStart w:id="51" w:name="_5brzu6dhpo5d" w:colFirst="0" w:colLast="0"/>
      <w:bookmarkEnd w:id="51"/>
      <w:r>
        <w:rPr>
          <w:sz w:val="22"/>
          <w:szCs w:val="22"/>
        </w:rPr>
        <w:t xml:space="preserve">MISURA GEN N. 5 - PREVENZIONE CONFLITTI DI INTERESSE E </w:t>
      </w:r>
      <w:proofErr w:type="spellStart"/>
      <w:r>
        <w:rPr>
          <w:sz w:val="22"/>
          <w:szCs w:val="22"/>
        </w:rPr>
        <w:t>INCONFERIBILITà</w:t>
      </w:r>
      <w:proofErr w:type="spellEnd"/>
      <w:r>
        <w:rPr>
          <w:sz w:val="22"/>
          <w:szCs w:val="22"/>
        </w:rPr>
        <w:t xml:space="preserve"> INCARICHI</w:t>
      </w:r>
    </w:p>
    <w:p w:rsidR="00885929" w:rsidRDefault="007F469E">
      <w:p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L’art. 6-bis della legge 241/1990 prevede che i responsabili di procedimento - nonché i responsabili competenti per pareri, valutazioni tecniche, atti </w:t>
      </w:r>
      <w:proofErr w:type="spellStart"/>
      <w:r>
        <w:rPr>
          <w:rFonts w:ascii="Titillium Web" w:eastAsia="Titillium Web" w:hAnsi="Titillium Web" w:cs="Titillium Web"/>
          <w:highlight w:val="white"/>
        </w:rPr>
        <w:t>endo</w:t>
      </w:r>
      <w:proofErr w:type="spellEnd"/>
      <w:r>
        <w:rPr>
          <w:rFonts w:ascii="Titillium Web" w:eastAsia="Titillium Web" w:hAnsi="Titillium Web" w:cs="Titillium Web"/>
          <w:highlight w:val="white"/>
        </w:rPr>
        <w:t xml:space="preserve">-procedimentali e per l’adozione dei provvedimenti conclusivi - debbano </w:t>
      </w:r>
      <w:r>
        <w:rPr>
          <w:rFonts w:ascii="Titillium Web" w:eastAsia="Titillium Web" w:hAnsi="Titillium Web" w:cs="Titillium Web"/>
          <w:b/>
          <w:bCs/>
          <w:highlight w:val="white"/>
          <w:u w:val="single"/>
        </w:rPr>
        <w:t>astenersi in caso di “conflitto di interessi”,</w:t>
      </w:r>
      <w:r>
        <w:rPr>
          <w:rFonts w:ascii="Titillium Web" w:eastAsia="Titillium Web" w:hAnsi="Titillium Web" w:cs="Titillium Web"/>
          <w:highlight w:val="white"/>
        </w:rPr>
        <w:t xml:space="preserve"> segnalando ogni situazione, anche solo potenziale, di conflitto.</w:t>
      </w:r>
    </w:p>
    <w:p w:rsidR="00885929" w:rsidRDefault="007F469E">
      <w:p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Il DPR 62/2013 (</w:t>
      </w:r>
      <w:r>
        <w:rPr>
          <w:rFonts w:ascii="Titillium Web" w:eastAsia="Titillium Web" w:hAnsi="Titillium Web" w:cs="Titillium Web"/>
          <w:i/>
          <w:iCs/>
          <w:highlight w:val="white"/>
        </w:rPr>
        <w:t>Codice di comportamento dei dipendenti pubblici</w:t>
      </w:r>
      <w:r>
        <w:rPr>
          <w:rFonts w:ascii="Titillium Web" w:eastAsia="Titillium Web" w:hAnsi="Titillium Web" w:cs="Titillium Web"/>
          <w:highlight w:val="white"/>
        </w:rPr>
        <w:t xml:space="preserve">) norma il conflitto di interessi agli artt. 6, 7 e 14. </w:t>
      </w:r>
    </w:p>
    <w:p w:rsidR="00885929" w:rsidRDefault="007F469E">
      <w:pPr>
        <w:spacing w:before="120" w:after="200" w:line="240" w:lineRule="auto"/>
        <w:jc w:val="both"/>
        <w:rPr>
          <w:rFonts w:ascii="Titillium Web" w:eastAsia="Titillium Web" w:hAnsi="Titillium Web" w:cs="Titillium Web"/>
          <w:i/>
          <w:iCs/>
          <w:highlight w:val="white"/>
        </w:rPr>
      </w:pPr>
      <w:r>
        <w:rPr>
          <w:rFonts w:ascii="Titillium Web" w:eastAsia="Titillium Web" w:hAnsi="Titillium Web" w:cs="Titillium Web"/>
          <w:b/>
          <w:bCs/>
          <w:i/>
          <w:iCs/>
          <w:highlight w:val="white"/>
          <w:u w:val="single"/>
        </w:rPr>
        <w:t>Il dipendente pubblico ha il dovere di astenersi</w:t>
      </w:r>
      <w:r>
        <w:rPr>
          <w:rFonts w:ascii="Titillium Web" w:eastAsia="Titillium Web" w:hAnsi="Titillium Web" w:cs="Titillium Web"/>
          <w:i/>
          <w:iCs/>
          <w:highlight w:val="white"/>
        </w:rPr>
        <w:t xml:space="preserve"> sia dall’assumere decisioni, che dallo svolgere attività che possano coinvolgere interessi: </w:t>
      </w:r>
    </w:p>
    <w:p w:rsidR="00885929" w:rsidRDefault="007F469E">
      <w:pPr>
        <w:numPr>
          <w:ilvl w:val="0"/>
          <w:numId w:val="19"/>
        </w:numPr>
        <w:spacing w:before="120" w:after="200" w:line="240" w:lineRule="auto"/>
        <w:jc w:val="both"/>
        <w:rPr>
          <w:rFonts w:ascii="Titillium Web" w:eastAsia="Titillium Web" w:hAnsi="Titillium Web" w:cs="Titillium Web"/>
          <w:i/>
          <w:iCs/>
          <w:highlight w:val="white"/>
        </w:rPr>
      </w:pPr>
      <w:r>
        <w:rPr>
          <w:rFonts w:ascii="Titillium Web" w:eastAsia="Titillium Web" w:hAnsi="Titillium Web" w:cs="Titillium Web"/>
          <w:i/>
          <w:iCs/>
          <w:highlight w:val="white"/>
        </w:rPr>
        <w:t xml:space="preserve">dello stesso dipendente;  </w:t>
      </w:r>
    </w:p>
    <w:p w:rsidR="00885929" w:rsidRDefault="007F469E">
      <w:pPr>
        <w:numPr>
          <w:ilvl w:val="0"/>
          <w:numId w:val="19"/>
        </w:numPr>
        <w:spacing w:after="200" w:line="240" w:lineRule="auto"/>
        <w:jc w:val="both"/>
        <w:rPr>
          <w:rFonts w:ascii="Titillium Web" w:eastAsia="Titillium Web" w:hAnsi="Titillium Web" w:cs="Titillium Web"/>
          <w:i/>
          <w:iCs/>
          <w:highlight w:val="white"/>
        </w:rPr>
      </w:pPr>
      <w:r>
        <w:rPr>
          <w:rFonts w:ascii="Titillium Web" w:eastAsia="Titillium Web" w:hAnsi="Titillium Web" w:cs="Titillium Web"/>
          <w:i/>
          <w:iCs/>
          <w:highlight w:val="white"/>
        </w:rPr>
        <w:t xml:space="preserve">di suoi parenti o affini entro il secondo grado, del coniuge o di conviventi; </w:t>
      </w:r>
    </w:p>
    <w:p w:rsidR="00885929" w:rsidRDefault="007F469E">
      <w:pPr>
        <w:numPr>
          <w:ilvl w:val="0"/>
          <w:numId w:val="19"/>
        </w:numPr>
        <w:spacing w:after="200" w:line="240" w:lineRule="auto"/>
        <w:jc w:val="both"/>
        <w:rPr>
          <w:rFonts w:ascii="Titillium Web" w:eastAsia="Titillium Web" w:hAnsi="Titillium Web" w:cs="Titillium Web"/>
          <w:i/>
          <w:iCs/>
          <w:highlight w:val="white"/>
        </w:rPr>
      </w:pPr>
      <w:r>
        <w:rPr>
          <w:rFonts w:ascii="Titillium Web" w:eastAsia="Titillium Web" w:hAnsi="Titillium Web" w:cs="Titillium Web"/>
          <w:i/>
          <w:iCs/>
          <w:highlight w:val="white"/>
        </w:rPr>
        <w:t xml:space="preserve">di persone con le quali il dipendente abbia “rapporti di frequentazione abituale”; </w:t>
      </w:r>
    </w:p>
    <w:p w:rsidR="00885929" w:rsidRDefault="007F469E">
      <w:pPr>
        <w:numPr>
          <w:ilvl w:val="0"/>
          <w:numId w:val="19"/>
        </w:numPr>
        <w:spacing w:after="200" w:line="240" w:lineRule="auto"/>
        <w:jc w:val="both"/>
        <w:rPr>
          <w:rFonts w:ascii="Titillium Web" w:eastAsia="Titillium Web" w:hAnsi="Titillium Web" w:cs="Titillium Web"/>
          <w:i/>
          <w:iCs/>
          <w:highlight w:val="white"/>
        </w:rPr>
      </w:pPr>
      <w:r>
        <w:rPr>
          <w:rFonts w:ascii="Titillium Web" w:eastAsia="Titillium Web" w:hAnsi="Titillium Web" w:cs="Titillium Web"/>
          <w:i/>
          <w:iCs/>
          <w:highlight w:val="white"/>
        </w:rPr>
        <w:t xml:space="preserve">di soggetti od organizzazioni con cui il dipendente, ovvero il suo coniuge, abbia una causa pendente, ovvero rapporti di “grave inimicizia” o di credito o debito significativi; </w:t>
      </w:r>
    </w:p>
    <w:p w:rsidR="00885929" w:rsidRDefault="007F469E">
      <w:pPr>
        <w:numPr>
          <w:ilvl w:val="0"/>
          <w:numId w:val="19"/>
        </w:numPr>
        <w:spacing w:after="200" w:line="240" w:lineRule="auto"/>
        <w:jc w:val="both"/>
        <w:rPr>
          <w:rFonts w:ascii="Titillium Web" w:eastAsia="Titillium Web" w:hAnsi="Titillium Web" w:cs="Titillium Web"/>
          <w:i/>
          <w:iCs/>
          <w:highlight w:val="white"/>
        </w:rPr>
      </w:pPr>
      <w:r>
        <w:rPr>
          <w:rFonts w:ascii="Titillium Web" w:eastAsia="Titillium Web" w:hAnsi="Titillium Web" w:cs="Titillium Web"/>
          <w:i/>
          <w:iCs/>
          <w:highlight w:val="white"/>
        </w:rPr>
        <w:t xml:space="preserve">di soggetti od organizzazioni di cui sia tutore, curatore, procuratore o agente; </w:t>
      </w:r>
    </w:p>
    <w:p w:rsidR="00885929" w:rsidRDefault="007F469E">
      <w:pPr>
        <w:numPr>
          <w:ilvl w:val="0"/>
          <w:numId w:val="19"/>
        </w:numPr>
        <w:spacing w:after="200" w:line="240" w:lineRule="auto"/>
        <w:jc w:val="both"/>
        <w:rPr>
          <w:rFonts w:ascii="Titillium Web" w:eastAsia="Titillium Web" w:hAnsi="Titillium Web" w:cs="Titillium Web"/>
          <w:i/>
          <w:iCs/>
          <w:highlight w:val="white"/>
        </w:rPr>
      </w:pPr>
      <w:r>
        <w:rPr>
          <w:rFonts w:ascii="Titillium Web" w:eastAsia="Titillium Web" w:hAnsi="Titillium Web" w:cs="Titillium Web"/>
          <w:i/>
          <w:iCs/>
          <w:highlight w:val="white"/>
        </w:rPr>
        <w:t xml:space="preserve">di enti, associazioni anche non riconosciute, comitati, società o stabilimenti di cui sia amministratore o gerente o dirigente. </w:t>
      </w:r>
    </w:p>
    <w:p w:rsidR="00885929" w:rsidRDefault="007F469E">
      <w:p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Ogni qual volta si configurino le descritte situazioni di conflitto di interessi, </w:t>
      </w:r>
      <w:r>
        <w:rPr>
          <w:rFonts w:ascii="Titillium Web" w:eastAsia="Titillium Web" w:hAnsi="Titillium Web" w:cs="Titillium Web"/>
          <w:highlight w:val="white"/>
          <w:u w:val="single"/>
        </w:rPr>
        <w:t xml:space="preserve">il dipendente è tenuto a darne tempestivamente comunicazione al responsabile dell’ufficio di appartenenza (il </w:t>
      </w:r>
      <w:proofErr w:type="spellStart"/>
      <w:r>
        <w:rPr>
          <w:rFonts w:ascii="Titillium Web" w:eastAsia="Titillium Web" w:hAnsi="Titillium Web" w:cs="Titillium Web"/>
          <w:highlight w:val="white"/>
          <w:u w:val="single"/>
        </w:rPr>
        <w:t>Resp.Po</w:t>
      </w:r>
      <w:proofErr w:type="spellEnd"/>
      <w:r>
        <w:rPr>
          <w:rFonts w:ascii="Titillium Web" w:eastAsia="Titillium Web" w:hAnsi="Titillium Web" w:cs="Titillium Web"/>
          <w:highlight w:val="white"/>
          <w:u w:val="single"/>
        </w:rPr>
        <w:t xml:space="preserve"> al Segretario comunale)</w:t>
      </w:r>
      <w:r>
        <w:rPr>
          <w:rFonts w:ascii="Titillium Web" w:eastAsia="Titillium Web" w:hAnsi="Titillium Web" w:cs="Titillium Web"/>
          <w:highlight w:val="white"/>
        </w:rPr>
        <w:t>, il quale valuterà, nel caso concreto, l’eventuale sussistenza del contrasto tra l’interesse privato ed il bene pubblico.</w:t>
      </w:r>
    </w:p>
    <w:p w:rsidR="00885929" w:rsidRDefault="007F469E">
      <w:p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lastRenderedPageBreak/>
        <w:t xml:space="preserve">La violazione degli obblighi di comunicazione ed astensione integra comportamenti contrari ai doveri d’ufficio e, pertanto, è </w:t>
      </w:r>
      <w:r>
        <w:rPr>
          <w:rFonts w:ascii="Titillium Web" w:eastAsia="Titillium Web" w:hAnsi="Titillium Web" w:cs="Titillium Web"/>
          <w:b/>
          <w:bCs/>
          <w:highlight w:val="white"/>
        </w:rPr>
        <w:t>fonte di responsabilità disciplinare</w:t>
      </w:r>
      <w:r>
        <w:rPr>
          <w:rFonts w:ascii="Titillium Web" w:eastAsia="Titillium Web" w:hAnsi="Titillium Web" w:cs="Titillium Web"/>
          <w:highlight w:val="white"/>
        </w:rPr>
        <w:t xml:space="preserve">, fatte salve eventuali ulteriori responsabilità civili, penali, contabili o amministrative.      </w:t>
      </w:r>
    </w:p>
    <w:p w:rsidR="00885929" w:rsidRDefault="007F469E">
      <w:p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rPr>
        <w:t xml:space="preserve">IL COMUNE </w:t>
      </w:r>
      <w:r>
        <w:rPr>
          <w:rFonts w:ascii="Titillium Web" w:eastAsia="Titillium Web" w:hAnsi="Titillium Web" w:cs="Titillium Web"/>
          <w:highlight w:val="white"/>
        </w:rPr>
        <w:t xml:space="preserve">applica: </w:t>
      </w:r>
    </w:p>
    <w:p w:rsidR="00885929" w:rsidRDefault="007F469E">
      <w:pPr>
        <w:numPr>
          <w:ilvl w:val="0"/>
          <w:numId w:val="2"/>
        </w:numPr>
        <w:spacing w:before="120" w:after="200" w:line="240" w:lineRule="auto"/>
        <w:jc w:val="both"/>
        <w:rPr>
          <w:rFonts w:ascii="Titillium Web" w:eastAsia="Titillium Web" w:hAnsi="Titillium Web" w:cs="Titillium Web"/>
        </w:rPr>
      </w:pPr>
      <w:r>
        <w:rPr>
          <w:rFonts w:ascii="Titillium Web" w:eastAsia="Titillium Web" w:hAnsi="Titillium Web" w:cs="Titillium Web"/>
        </w:rPr>
        <w:t>la</w:t>
      </w:r>
      <w:r>
        <w:rPr>
          <w:rFonts w:ascii="Titillium Web" w:eastAsia="Titillium Web" w:hAnsi="Titillium Web" w:cs="Titillium Web"/>
          <w:highlight w:val="white"/>
        </w:rPr>
        <w:t xml:space="preserve"> disciplina di cui agli artt. 53 del d.lgs. 165/2001 e 60 del DPR 3/1957.  </w:t>
      </w:r>
    </w:p>
    <w:p w:rsidR="00885929" w:rsidRDefault="007F469E">
      <w:pPr>
        <w:numPr>
          <w:ilvl w:val="0"/>
          <w:numId w:val="2"/>
        </w:numPr>
        <w:spacing w:after="200" w:line="240" w:lineRule="auto"/>
        <w:jc w:val="both"/>
        <w:rPr>
          <w:rFonts w:ascii="Titillium Web" w:eastAsia="Titillium Web" w:hAnsi="Titillium Web" w:cs="Titillium Web"/>
        </w:rPr>
      </w:pPr>
      <w:r>
        <w:rPr>
          <w:rFonts w:ascii="Titillium Web" w:eastAsia="Titillium Web" w:hAnsi="Titillium Web" w:cs="Titillium Web"/>
        </w:rPr>
        <w:t>c</w:t>
      </w:r>
      <w:r>
        <w:rPr>
          <w:rFonts w:ascii="Titillium Web" w:eastAsia="Titillium Web" w:hAnsi="Titillium Web" w:cs="Titillium Web"/>
          <w:highlight w:val="white"/>
        </w:rPr>
        <w:t xml:space="preserve">on riferimento ai Responsabili apicali, applica la disciplina degli artt. 50, comma 10, 107 e 109 del TUEL e degli artt. 13 – 27 del d.lgs. 165/2001.  </w:t>
      </w:r>
    </w:p>
    <w:p w:rsidR="00885929" w:rsidRDefault="007F469E">
      <w:pPr>
        <w:numPr>
          <w:ilvl w:val="0"/>
          <w:numId w:val="2"/>
        </w:numPr>
        <w:spacing w:before="120" w:after="200" w:line="240" w:lineRule="auto"/>
        <w:jc w:val="both"/>
        <w:rPr>
          <w:rFonts w:ascii="Titillium Web" w:eastAsia="Titillium Web" w:hAnsi="Titillium Web" w:cs="Titillium Web"/>
        </w:rPr>
      </w:pPr>
      <w:r>
        <w:rPr>
          <w:rFonts w:ascii="Titillium Web" w:eastAsia="Titillium Web" w:hAnsi="Titillium Web" w:cs="Titillium Web"/>
          <w:highlight w:val="white"/>
        </w:rPr>
        <w:t xml:space="preserve">le disposizioni del d.lgs. 39/2013 ed in particolare l'art. 20 rubricato: </w:t>
      </w:r>
      <w:r>
        <w:rPr>
          <w:rFonts w:ascii="Titillium Web" w:eastAsia="Titillium Web" w:hAnsi="Titillium Web" w:cs="Titillium Web"/>
          <w:i/>
          <w:iCs/>
          <w:highlight w:val="white"/>
        </w:rPr>
        <w:t xml:space="preserve">dichiarazione sulla insussistenza di cause di </w:t>
      </w:r>
      <w:proofErr w:type="spellStart"/>
      <w:r>
        <w:rPr>
          <w:rFonts w:ascii="Titillium Web" w:eastAsia="Titillium Web" w:hAnsi="Titillium Web" w:cs="Titillium Web"/>
          <w:i/>
          <w:iCs/>
          <w:highlight w:val="white"/>
        </w:rPr>
        <w:t>inconferibilità</w:t>
      </w:r>
      <w:proofErr w:type="spellEnd"/>
      <w:r>
        <w:rPr>
          <w:rFonts w:ascii="Titillium Web" w:eastAsia="Titillium Web" w:hAnsi="Titillium Web" w:cs="Titillium Web"/>
          <w:i/>
          <w:iCs/>
          <w:highlight w:val="white"/>
        </w:rPr>
        <w:t xml:space="preserve"> o incompatibilità</w:t>
      </w:r>
      <w:r>
        <w:rPr>
          <w:rFonts w:ascii="Titillium Web" w:eastAsia="Titillium Web" w:hAnsi="Titillium Web" w:cs="Titillium Web"/>
          <w:highlight w:val="white"/>
        </w:rPr>
        <w:t>.</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highlight w:val="white"/>
        </w:rPr>
        <w:t xml:space="preserve">Allo scopo di monitorare il rispetto della presente misura di contrasto dei conflitti di interesse (anche solo potenziale) dei dipendenti in servizio - in particolari quelli aventi responsabilità apicale e quelli che sono responsabili di procedimenti ad alto rischio - </w:t>
      </w:r>
      <w:r>
        <w:rPr>
          <w:rFonts w:ascii="Titillium Web" w:eastAsia="Titillium Web" w:hAnsi="Titillium Web" w:cs="Titillium Web"/>
          <w:highlight w:val="white"/>
          <w:u w:val="single"/>
        </w:rPr>
        <w:t>il RPCT verifica periodicamente che i dipendenti abbiano reso le dichiarazioni relative all’assenza di conflitto di interessi,</w:t>
      </w:r>
      <w:r>
        <w:rPr>
          <w:rFonts w:ascii="Titillium Web" w:eastAsia="Titillium Web" w:hAnsi="Titillium Web" w:cs="Titillium Web"/>
          <w:highlight w:val="white"/>
        </w:rPr>
        <w:t xml:space="preserve"> secondo le situazioni specificate nel codice di comportamento.</w:t>
      </w:r>
      <w:r>
        <w:rPr>
          <w:rFonts w:ascii="Titillium Web" w:eastAsia="Titillium Web" w:hAnsi="Titillium Web" w:cs="Titillium Web"/>
          <w:highlight w:val="yellow"/>
        </w:rPr>
        <w:t xml:space="preserve"> </w:t>
      </w:r>
    </w:p>
    <w:tbl>
      <w:tblPr>
        <w:tblStyle w:val="a3"/>
        <w:tblW w:w="9172"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2076"/>
        <w:gridCol w:w="9"/>
        <w:gridCol w:w="7073"/>
        <w:gridCol w:w="14"/>
      </w:tblGrid>
      <w:tr w:rsidR="00885929" w:rsidTr="00C248FA">
        <w:trPr>
          <w:gridAfter w:val="1"/>
          <w:wAfter w:w="14" w:type="dxa"/>
          <w:trHeight w:val="645"/>
        </w:trPr>
        <w:tc>
          <w:tcPr>
            <w:tcW w:w="9158" w:type="dxa"/>
            <w:gridSpan w:val="3"/>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rPr>
                <w:rFonts w:ascii="Titillium Web" w:eastAsia="Titillium Web" w:hAnsi="Titillium Web" w:cs="Titillium Web"/>
                <w:sz w:val="20"/>
                <w:szCs w:val="20"/>
              </w:rPr>
            </w:pPr>
            <w:r>
              <w:rPr>
                <w:rFonts w:ascii="Titillium Web" w:eastAsia="Titillium Web" w:hAnsi="Titillium Web" w:cs="Titillium Web"/>
                <w:b/>
                <w:bCs/>
                <w:sz w:val="20"/>
                <w:szCs w:val="20"/>
              </w:rPr>
              <w:t xml:space="preserve">TABELLA OPERATIVA </w:t>
            </w:r>
            <w:r>
              <w:rPr>
                <w:rFonts w:ascii="Titillium Web" w:eastAsia="Titillium Web" w:hAnsi="Titillium Web" w:cs="Titillium Web"/>
                <w:b/>
                <w:bCs/>
                <w:i/>
                <w:iCs/>
                <w:sz w:val="20"/>
                <w:szCs w:val="20"/>
                <w:u w:val="single"/>
              </w:rPr>
              <w:t xml:space="preserve">MISURA N.5 -  PREVENZIONE CONFLITTI DI INTERESSE E </w:t>
            </w:r>
            <w:proofErr w:type="spellStart"/>
            <w:r>
              <w:rPr>
                <w:rFonts w:ascii="Titillium Web" w:eastAsia="Titillium Web" w:hAnsi="Titillium Web" w:cs="Titillium Web"/>
                <w:b/>
                <w:bCs/>
                <w:i/>
                <w:iCs/>
                <w:sz w:val="20"/>
                <w:szCs w:val="20"/>
                <w:u w:val="single"/>
              </w:rPr>
              <w:t>INCONFERIBILITà</w:t>
            </w:r>
            <w:proofErr w:type="spellEnd"/>
            <w:r>
              <w:rPr>
                <w:rFonts w:ascii="Titillium Web" w:eastAsia="Titillium Web" w:hAnsi="Titillium Web" w:cs="Titillium Web"/>
                <w:b/>
                <w:bCs/>
                <w:i/>
                <w:iCs/>
                <w:sz w:val="20"/>
                <w:szCs w:val="20"/>
                <w:u w:val="single"/>
              </w:rPr>
              <w:t xml:space="preserve"> INCARICHI</w:t>
            </w:r>
          </w:p>
        </w:tc>
      </w:tr>
      <w:tr w:rsidR="00885929" w:rsidTr="00C248FA">
        <w:trPr>
          <w:trHeight w:val="899"/>
        </w:trPr>
        <w:tc>
          <w:tcPr>
            <w:tcW w:w="207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7096" w:type="dxa"/>
            <w:gridSpan w:val="3"/>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Dichiarazioni annuali standardizzate effettuate dai Responsabili EQ nella fase di nomina.</w:t>
            </w:r>
          </w:p>
        </w:tc>
      </w:tr>
      <w:tr w:rsidR="00885929" w:rsidTr="00C248FA">
        <w:trPr>
          <w:trHeight w:val="2237"/>
        </w:trPr>
        <w:tc>
          <w:tcPr>
            <w:tcW w:w="208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7087"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Si prevede che </w:t>
            </w:r>
            <w:r>
              <w:rPr>
                <w:rFonts w:ascii="Titillium Web" w:eastAsia="Titillium Web" w:hAnsi="Titillium Web" w:cs="Titillium Web"/>
                <w:b/>
                <w:bCs/>
              </w:rPr>
              <w:t>il Segretario organizzi uno o più incontri formativi con i dipendenti, cui potrà seguire apposita CIRCOLARE INTERNA con allegata modulistica</w:t>
            </w:r>
            <w:r>
              <w:rPr>
                <w:rFonts w:ascii="Titillium Web" w:eastAsia="Titillium Web" w:hAnsi="Titillium Web" w:cs="Titillium Web"/>
              </w:rPr>
              <w:t xml:space="preserve"> nella quale siano definite (in conformità al PNA 2025 e precedenti) le modalità di attuazione, i soggetti coinvolti, le modalità di verifica sul rispetto della misura di PREVENZIONE DEI CONFLITTI DI INTERESSE.</w:t>
            </w:r>
          </w:p>
        </w:tc>
      </w:tr>
      <w:tr w:rsidR="00885929" w:rsidTr="00C248FA">
        <w:trPr>
          <w:trHeight w:val="854"/>
        </w:trPr>
        <w:tc>
          <w:tcPr>
            <w:tcW w:w="208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Monitoraggio previsto 2026-28</w:t>
            </w:r>
          </w:p>
        </w:tc>
        <w:tc>
          <w:tcPr>
            <w:tcW w:w="7087"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Verifica a campione sulle dichiarazioni rese dai RUP e dalle EQ in corso d'anno.</w:t>
            </w:r>
          </w:p>
        </w:tc>
      </w:tr>
    </w:tbl>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5"/>
        <w:rPr>
          <w:sz w:val="22"/>
          <w:szCs w:val="22"/>
        </w:rPr>
      </w:pPr>
      <w:bookmarkStart w:id="52" w:name="_lnzrd2hrayvr" w:colFirst="0" w:colLast="0"/>
      <w:bookmarkEnd w:id="52"/>
      <w:r>
        <w:rPr>
          <w:sz w:val="22"/>
          <w:szCs w:val="22"/>
        </w:rPr>
        <w:t>MISURA GEN N.  6 - INCARICHI EXTRA-ISTITUZIONALI DEI DIPENDENTI</w:t>
      </w:r>
    </w:p>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Il Comune disciplina l’autorizzazione di eventuali incarichi esterni richiesti dal personale dipendente, verificando il rispetto di quanto previsto dall’art. 53 D.lgs. 165/2001.</w:t>
      </w:r>
    </w:p>
    <w:tbl>
      <w:tblPr>
        <w:tblStyle w:val="a4"/>
        <w:tblW w:w="9031"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2085"/>
        <w:gridCol w:w="6940"/>
        <w:gridCol w:w="6"/>
      </w:tblGrid>
      <w:tr w:rsidR="00885929" w:rsidTr="00C248FA">
        <w:trPr>
          <w:gridAfter w:val="1"/>
          <w:wAfter w:w="6" w:type="dxa"/>
          <w:trHeight w:val="540"/>
        </w:trPr>
        <w:tc>
          <w:tcPr>
            <w:tcW w:w="902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rPr>
            </w:pPr>
            <w:r>
              <w:rPr>
                <w:rFonts w:ascii="Titillium Web" w:eastAsia="Titillium Web" w:hAnsi="Titillium Web" w:cs="Titillium Web"/>
                <w:b/>
                <w:bCs/>
              </w:rPr>
              <w:lastRenderedPageBreak/>
              <w:t xml:space="preserve">TABELLA OPERATIVA </w:t>
            </w:r>
            <w:r>
              <w:rPr>
                <w:rFonts w:ascii="Titillium Web" w:eastAsia="Titillium Web" w:hAnsi="Titillium Web" w:cs="Titillium Web"/>
                <w:b/>
                <w:bCs/>
                <w:i/>
                <w:iCs/>
                <w:u w:val="single"/>
              </w:rPr>
              <w:t>MISURA N.6 -  INCARICHI EXTRA-ISTITUZIONALI dei dipendenti</w:t>
            </w:r>
          </w:p>
        </w:tc>
      </w:tr>
      <w:tr w:rsidR="00885929" w:rsidTr="00C248FA">
        <w:trPr>
          <w:trHeight w:val="854"/>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6946"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rsidP="00B72A10">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Autorizzazioni di incarichi esterni richiesti dai dipendenti, attraverso apposite procedure e modul</w:t>
            </w:r>
            <w:r w:rsidR="00B72A10">
              <w:rPr>
                <w:rFonts w:ascii="Titillium Web" w:eastAsia="Titillium Web" w:hAnsi="Titillium Web" w:cs="Titillium Web"/>
              </w:rPr>
              <w:t>istiche</w:t>
            </w:r>
            <w:r>
              <w:rPr>
                <w:rFonts w:ascii="Titillium Web" w:eastAsia="Titillium Web" w:hAnsi="Titillium Web" w:cs="Titillium Web"/>
              </w:rPr>
              <w:t>.</w:t>
            </w:r>
          </w:p>
        </w:tc>
      </w:tr>
      <w:tr w:rsidR="00885929" w:rsidTr="00C248FA">
        <w:trPr>
          <w:trHeight w:val="944"/>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6946"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Comunicazione tempestiva (entro 15 gg) all'Anagrafe delle Prestazioni (</w:t>
            </w:r>
            <w:proofErr w:type="spellStart"/>
            <w:r>
              <w:rPr>
                <w:rFonts w:ascii="Titillium Web" w:eastAsia="Titillium Web" w:hAnsi="Titillium Web" w:cs="Titillium Web"/>
              </w:rPr>
              <w:t>PerlaPA</w:t>
            </w:r>
            <w:proofErr w:type="spellEnd"/>
            <w:r>
              <w:rPr>
                <w:rFonts w:ascii="Titillium Web" w:eastAsia="Titillium Web" w:hAnsi="Titillium Web" w:cs="Titillium Web"/>
              </w:rPr>
              <w:t>) per ogni incarico autorizzato.</w:t>
            </w:r>
          </w:p>
        </w:tc>
      </w:tr>
      <w:tr w:rsidR="00885929" w:rsidTr="00C248FA">
        <w:trPr>
          <w:trHeight w:val="853"/>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Monitoraggio previsto 2026-28</w:t>
            </w:r>
          </w:p>
        </w:tc>
        <w:tc>
          <w:tcPr>
            <w:tcW w:w="6946"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Incrocio semestrale tra incarichi autorizzati e banca dati </w:t>
            </w:r>
            <w:proofErr w:type="spellStart"/>
            <w:r>
              <w:rPr>
                <w:rFonts w:ascii="Titillium Web" w:eastAsia="Titillium Web" w:hAnsi="Titillium Web" w:cs="Titillium Web"/>
              </w:rPr>
              <w:t>PerlaPA</w:t>
            </w:r>
            <w:proofErr w:type="spellEnd"/>
            <w:r>
              <w:rPr>
                <w:rFonts w:ascii="Titillium Web" w:eastAsia="Titillium Web" w:hAnsi="Titillium Web" w:cs="Titillium Web"/>
              </w:rPr>
              <w:t>.</w:t>
            </w:r>
          </w:p>
        </w:tc>
      </w:tr>
    </w:tbl>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5"/>
        <w:rPr>
          <w:sz w:val="22"/>
          <w:szCs w:val="22"/>
        </w:rPr>
      </w:pPr>
      <w:bookmarkStart w:id="53" w:name="_azwuvss6dgrd" w:colFirst="0" w:colLast="0"/>
      <w:bookmarkEnd w:id="53"/>
      <w:r>
        <w:rPr>
          <w:sz w:val="22"/>
          <w:szCs w:val="22"/>
        </w:rPr>
        <w:t>MISURA GEN N. 7 - WHISTLEBLOWING (TUTELA DEL SEGNALANTE condotte illecite)</w:t>
      </w:r>
    </w:p>
    <w:p w:rsidR="00885929" w:rsidRDefault="007F469E">
      <w:pPr>
        <w:keepNext/>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b/>
          <w:bCs/>
          <w:highlight w:val="white"/>
          <w:u w:val="single"/>
        </w:rPr>
        <w:t>L’art. 54-bis del d.lgs. 165/2001</w:t>
      </w:r>
      <w:r>
        <w:rPr>
          <w:rFonts w:ascii="Titillium Web" w:eastAsia="Titillium Web" w:hAnsi="Titillium Web" w:cs="Titillium Web"/>
          <w:highlight w:val="white"/>
        </w:rPr>
        <w:t xml:space="preserve">, stabilisce che il pubblico dipendente che, nell'interesse dell'integrità della P.A., segnali condotte illecite di cui è venuto a conoscenza in ragione del proprio rapporto di lavoro non possa essere sanzionato, demansionato, licenziato, trasferito, o sottoposto ad altra misura organizzativa avente effetti negativi, diretti o indiretti, sulle condizioni di lavoro determinata dalla segnalazione. Tutte le amministrazioni pubbliche sono tenute ad applicare l’articolo 54-bis. </w:t>
      </w:r>
    </w:p>
    <w:p w:rsidR="00885929" w:rsidRDefault="007F469E">
      <w:pPr>
        <w:keepNext/>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La segnalazione dell’illecito può essere inoltrata: in primo luogo, al RPCT; quindi, in alternativa all’ANAC, all’Autorità giudiziaria, alla Corte dei conti. </w:t>
      </w:r>
    </w:p>
    <w:p w:rsidR="00885929" w:rsidRDefault="007F469E">
      <w:pPr>
        <w:keepNext/>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b/>
          <w:bCs/>
          <w:highlight w:val="white"/>
        </w:rPr>
        <w:t>La segnalazione è sempre sottratta all'accesso documentale, di tipo tradizionale,</w:t>
      </w:r>
      <w:r>
        <w:rPr>
          <w:rFonts w:ascii="Titillium Web" w:eastAsia="Titillium Web" w:hAnsi="Titillium Web" w:cs="Titillium Web"/>
          <w:highlight w:val="white"/>
        </w:rPr>
        <w:t xml:space="preserve"> normato dalla legge 241/1990. La denuncia deve ritenersi anche sottratta all’applicazione dell’istituto dell’accesso civico generalizzato, di cui agli articoli 5 e 5-bis del d.lgs. 33/2013. L’accesso, di qualunque tipo esso sia, non può essere riconosciuto poiché l'identità del segnalante non può, e non deve, essere rivelata. </w:t>
      </w:r>
    </w:p>
    <w:p w:rsidR="00885929" w:rsidRDefault="007F469E">
      <w:pPr>
        <w:keepNext/>
        <w:spacing w:before="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L’art. 54-bis accorda al whistleblower le seguenti garanzie: </w:t>
      </w:r>
    </w:p>
    <w:p w:rsidR="00885929" w:rsidRDefault="007F469E">
      <w:pPr>
        <w:keepNext/>
        <w:numPr>
          <w:ilvl w:val="0"/>
          <w:numId w:val="15"/>
        </w:numPr>
        <w:spacing w:before="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la tutela dell'anonimato; </w:t>
      </w:r>
    </w:p>
    <w:p w:rsidR="00885929" w:rsidRDefault="007F469E">
      <w:pPr>
        <w:keepNext/>
        <w:numPr>
          <w:ilvl w:val="0"/>
          <w:numId w:val="15"/>
        </w:numPr>
        <w:spacing w:before="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il divieto di discriminazione; </w:t>
      </w:r>
    </w:p>
    <w:p w:rsidR="00885929" w:rsidRDefault="007F469E">
      <w:pPr>
        <w:keepNext/>
        <w:numPr>
          <w:ilvl w:val="0"/>
          <w:numId w:val="15"/>
        </w:numPr>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la previsione che la denuncia sia sottratta all’accesso. </w:t>
      </w:r>
    </w:p>
    <w:p w:rsidR="00885929" w:rsidRDefault="007F469E">
      <w:pPr>
        <w:widowControl w:val="0"/>
        <w:spacing w:after="120" w:line="240" w:lineRule="auto"/>
        <w:jc w:val="both"/>
        <w:rPr>
          <w:rFonts w:ascii="Titillium Web" w:eastAsia="Titillium Web" w:hAnsi="Titillium Web" w:cs="Titillium Web"/>
        </w:rPr>
      </w:pPr>
      <w:r>
        <w:rPr>
          <w:rFonts w:ascii="Titillium Web" w:eastAsia="Titillium Web" w:hAnsi="Titillium Web" w:cs="Titillium Web"/>
          <w:b/>
          <w:bCs/>
        </w:rPr>
        <w:t xml:space="preserve">Con il </w:t>
      </w:r>
      <w:proofErr w:type="spellStart"/>
      <w:r>
        <w:rPr>
          <w:rFonts w:ascii="Titillium Web" w:eastAsia="Titillium Web" w:hAnsi="Titillium Web" w:cs="Titillium Web"/>
          <w:b/>
          <w:bCs/>
        </w:rPr>
        <w:t>D.lgs</w:t>
      </w:r>
      <w:proofErr w:type="spellEnd"/>
      <w:r>
        <w:rPr>
          <w:rFonts w:ascii="Titillium Web" w:eastAsia="Titillium Web" w:hAnsi="Titillium Web" w:cs="Titillium Web"/>
          <w:b/>
          <w:bCs/>
        </w:rPr>
        <w:t xml:space="preserve"> n. 24/2023 (in vigore dal 30.3.2023) è stata introdotta una nuova disciplina del whistleblowing in Italia.</w:t>
      </w:r>
    </w:p>
    <w:p w:rsidR="00885929" w:rsidRDefault="007F469E">
      <w:pPr>
        <w:widowControl w:val="0"/>
        <w:spacing w:after="120" w:line="240" w:lineRule="auto"/>
        <w:jc w:val="both"/>
        <w:rPr>
          <w:rFonts w:ascii="Titillium Web" w:eastAsia="Titillium Web" w:hAnsi="Titillium Web" w:cs="Titillium Web"/>
          <w:i/>
          <w:iCs/>
          <w:color w:val="0000FF"/>
          <w:highlight w:val="white"/>
          <w:u w:val="single"/>
        </w:rPr>
      </w:pPr>
      <w:r>
        <w:rPr>
          <w:rFonts w:ascii="Titillium Web" w:eastAsia="Titillium Web" w:hAnsi="Titillium Web" w:cs="Titillium Web"/>
          <w:highlight w:val="white"/>
        </w:rPr>
        <w:t xml:space="preserve">Il Comune per adempiere agli obblighi normativi a tutela della riservatezza del segnalante di cui sopra, in ottemperanza alle suddette linee guida, ha aderito al </w:t>
      </w:r>
      <w:r>
        <w:rPr>
          <w:rFonts w:ascii="Titillium Web" w:eastAsia="Titillium Web" w:hAnsi="Titillium Web" w:cs="Titillium Web"/>
          <w:b/>
          <w:bCs/>
          <w:i/>
          <w:iCs/>
          <w:highlight w:val="white"/>
        </w:rPr>
        <w:t xml:space="preserve">progetto </w:t>
      </w:r>
      <w:proofErr w:type="spellStart"/>
      <w:r>
        <w:rPr>
          <w:rFonts w:ascii="Titillium Web" w:eastAsia="Titillium Web" w:hAnsi="Titillium Web" w:cs="Titillium Web"/>
          <w:b/>
          <w:bCs/>
          <w:i/>
          <w:iCs/>
          <w:highlight w:val="white"/>
        </w:rPr>
        <w:t>Whistleblowing</w:t>
      </w:r>
      <w:proofErr w:type="spellEnd"/>
      <w:r>
        <w:rPr>
          <w:rFonts w:ascii="Titillium Web" w:eastAsia="Titillium Web" w:hAnsi="Titillium Web" w:cs="Titillium Web"/>
          <w:b/>
          <w:bCs/>
          <w:i/>
          <w:iCs/>
          <w:highlight w:val="white"/>
        </w:rPr>
        <w:t xml:space="preserve"> PA di </w:t>
      </w:r>
      <w:proofErr w:type="spellStart"/>
      <w:r>
        <w:rPr>
          <w:rFonts w:ascii="Titillium Web" w:eastAsia="Titillium Web" w:hAnsi="Titillium Web" w:cs="Titillium Web"/>
          <w:b/>
          <w:bCs/>
          <w:i/>
          <w:iCs/>
          <w:highlight w:val="white"/>
        </w:rPr>
        <w:t>Transparency</w:t>
      </w:r>
      <w:proofErr w:type="spellEnd"/>
      <w:r>
        <w:rPr>
          <w:rFonts w:ascii="Titillium Web" w:eastAsia="Titillium Web" w:hAnsi="Titillium Web" w:cs="Titillium Web"/>
          <w:b/>
          <w:bCs/>
          <w:i/>
          <w:iCs/>
          <w:highlight w:val="white"/>
        </w:rPr>
        <w:t xml:space="preserve"> International Italia e del Centro Hermes</w:t>
      </w:r>
      <w:r>
        <w:rPr>
          <w:rFonts w:ascii="Titillium Web" w:eastAsia="Titillium Web" w:hAnsi="Titillium Web" w:cs="Titillium Web"/>
          <w:highlight w:val="white"/>
        </w:rPr>
        <w:t xml:space="preserve"> per la Trasparenza e i Diritti Umani e Digitali </w:t>
      </w:r>
      <w:r>
        <w:rPr>
          <w:rFonts w:ascii="Titillium Web" w:eastAsia="Titillium Web" w:hAnsi="Titillium Web" w:cs="Titillium Web"/>
          <w:highlight w:val="white"/>
        </w:rPr>
        <w:lastRenderedPageBreak/>
        <w:t xml:space="preserve">(LINK: </w:t>
      </w:r>
      <w:proofErr w:type="spellStart"/>
      <w:r>
        <w:rPr>
          <w:rFonts w:ascii="Titillium Web" w:eastAsia="Titillium Web" w:hAnsi="Titillium Web" w:cs="Titillium Web"/>
          <w:i/>
          <w:iCs/>
          <w:color w:val="0000FF"/>
          <w:highlight w:val="white"/>
          <w:u w:val="single"/>
        </w:rPr>
        <w:t>WhistleblowingPA</w:t>
      </w:r>
      <w:proofErr w:type="spellEnd"/>
      <w:r>
        <w:rPr>
          <w:rFonts w:ascii="Titillium Web" w:eastAsia="Titillium Web" w:hAnsi="Titillium Web" w:cs="Titillium Web"/>
          <w:i/>
          <w:iCs/>
          <w:color w:val="0000FF"/>
          <w:highlight w:val="white"/>
          <w:u w:val="single"/>
        </w:rPr>
        <w:t xml:space="preserve"> )</w:t>
      </w:r>
    </w:p>
    <w:p w:rsidR="00885929" w:rsidRDefault="007F469E">
      <w:pPr>
        <w:widowControl w:val="0"/>
        <w:spacing w:after="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I dipendenti comunali (</w:t>
      </w:r>
      <w:r w:rsidR="00C248FA">
        <w:rPr>
          <w:rFonts w:ascii="Titillium Web" w:eastAsia="Titillium Web" w:hAnsi="Titillium Web" w:cs="Titillium Web"/>
          <w:highlight w:val="white"/>
        </w:rPr>
        <w:t>nonché</w:t>
      </w:r>
      <w:r>
        <w:rPr>
          <w:rFonts w:ascii="Titillium Web" w:eastAsia="Titillium Web" w:hAnsi="Titillium Web" w:cs="Titillium Web"/>
          <w:highlight w:val="white"/>
        </w:rPr>
        <w:t xml:space="preserve"> i dipendenti di società partecipate o controllate dall’Ente, i collaboratori e consulenti con qualsiasi tipologia di incarico o contratto con l’ente e i dipendenti e collaboratori delle imprese fornitrici e realizzatrici di opere pubbliche dell’ente) possono segnalare illeciti di cui siano venuti a conoscenza in ragione del rapporto di lavoro:</w:t>
      </w:r>
    </w:p>
    <w:p w:rsidR="00885929" w:rsidRDefault="007F469E">
      <w:pPr>
        <w:widowControl w:val="0"/>
        <w:spacing w:after="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alla Autorità giudiziaria e contabile mediante denuncia</w:t>
      </w:r>
    </w:p>
    <w:p w:rsidR="00885929" w:rsidRDefault="007F469E">
      <w:pPr>
        <w:widowControl w:val="0"/>
        <w:spacing w:after="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ad ANAC all’indirizzo web:  https://servizi.anticorruzione.it/segnalazioni/#/</w:t>
      </w:r>
    </w:p>
    <w:p w:rsidR="00885929" w:rsidRDefault="007F469E">
      <w:pPr>
        <w:widowControl w:val="0"/>
        <w:spacing w:after="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 xml:space="preserve">• al RPCT all’indirizzo web: </w:t>
      </w:r>
      <w:r w:rsidR="00C248FA" w:rsidRPr="00C248FA">
        <w:rPr>
          <w:rFonts w:ascii="Titillium Web" w:eastAsia="Titillium Web" w:hAnsi="Titillium Web" w:cs="Titillium Web"/>
        </w:rPr>
        <w:t>https://comunedimontegiberto.whistleblowing.it/#/</w:t>
      </w:r>
    </w:p>
    <w:p w:rsidR="00885929" w:rsidRDefault="007F469E">
      <w:pPr>
        <w:widowControl w:val="0"/>
        <w:spacing w:after="12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La segnalazione viene ricevuta dal Responsabile per la Prevenzione della Corruzione (RPCT) che la gestisce secondo gli obblighi di legge.</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b/>
          <w:bCs/>
        </w:rPr>
        <w:t>Negli anni precedenti (2023-25) non sono pervenute segnalazioni</w:t>
      </w:r>
      <w:r>
        <w:rPr>
          <w:rFonts w:ascii="Titillium Web" w:eastAsia="Titillium Web" w:hAnsi="Titillium Web" w:cs="Titillium Web"/>
        </w:rPr>
        <w:t xml:space="preserve">. </w:t>
      </w:r>
    </w:p>
    <w:tbl>
      <w:tblPr>
        <w:tblStyle w:val="a5"/>
        <w:tblW w:w="9025"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1840"/>
        <w:gridCol w:w="7185"/>
      </w:tblGrid>
      <w:tr w:rsidR="00885929">
        <w:trPr>
          <w:trHeight w:val="600"/>
        </w:trPr>
        <w:tc>
          <w:tcPr>
            <w:tcW w:w="9025"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rPr>
            </w:pPr>
            <w:r>
              <w:rPr>
                <w:rFonts w:ascii="Titillium Web" w:eastAsia="Titillium Web" w:hAnsi="Titillium Web" w:cs="Titillium Web"/>
                <w:b/>
                <w:bCs/>
              </w:rPr>
              <w:t xml:space="preserve">TABELLA OPERATIVA </w:t>
            </w:r>
            <w:r>
              <w:rPr>
                <w:rFonts w:ascii="Titillium Web" w:eastAsia="Titillium Web" w:hAnsi="Titillium Web" w:cs="Titillium Web"/>
                <w:b/>
                <w:bCs/>
                <w:i/>
                <w:iCs/>
                <w:u w:val="single"/>
              </w:rPr>
              <w:t>MISURA N.7 -  WHISTLEBLOWING (TUTELA DEL SEGNALANTE)</w:t>
            </w:r>
          </w:p>
        </w:tc>
      </w:tr>
      <w:tr w:rsidR="00885929">
        <w:trPr>
          <w:trHeight w:val="854"/>
        </w:trPr>
        <w:tc>
          <w:tcPr>
            <w:tcW w:w="184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71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la piattaforma per le segnalazioni è attiva e funzionante; le istruzioni sono pubblicate in Amministrazione Trasparente.</w:t>
            </w:r>
          </w:p>
        </w:tc>
      </w:tr>
      <w:tr w:rsidR="00885929">
        <w:trPr>
          <w:trHeight w:val="854"/>
        </w:trPr>
        <w:tc>
          <w:tcPr>
            <w:tcW w:w="184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71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Allineamento costante alle Linee Guida ANAC; iniziative di sensibilizzazione per incrementare la fiducia nel sistema.</w:t>
            </w:r>
          </w:p>
        </w:tc>
      </w:tr>
      <w:tr w:rsidR="00885929">
        <w:trPr>
          <w:trHeight w:val="945"/>
        </w:trPr>
        <w:tc>
          <w:tcPr>
            <w:tcW w:w="1840"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Monitoraggio previsto 2026-28</w:t>
            </w:r>
          </w:p>
        </w:tc>
        <w:tc>
          <w:tcPr>
            <w:tcW w:w="71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pBdr>
                <w:top w:val="nil"/>
                <w:left w:val="nil"/>
                <w:bottom w:val="nil"/>
                <w:right w:val="nil"/>
                <w:between w:val="nil"/>
              </w:pBdr>
              <w:spacing w:after="200" w:line="240" w:lineRule="auto"/>
              <w:jc w:val="both"/>
              <w:rPr>
                <w:rFonts w:ascii="Titillium Web" w:eastAsia="Titillium Web" w:hAnsi="Titillium Web" w:cs="Titillium Web"/>
              </w:rPr>
            </w:pPr>
            <w:r>
              <w:rPr>
                <w:rFonts w:ascii="Titillium Web" w:eastAsia="Titillium Web" w:hAnsi="Titillium Web" w:cs="Titillium Web"/>
              </w:rPr>
              <w:t>Report annuale del RPCT sul numero di segnalazioni e tempi di gestione, garantendo l'anonimato.</w:t>
            </w:r>
          </w:p>
        </w:tc>
      </w:tr>
    </w:tbl>
    <w:p w:rsidR="00885929" w:rsidRDefault="00885929">
      <w:pPr>
        <w:pBdr>
          <w:top w:val="nil"/>
          <w:left w:val="nil"/>
          <w:bottom w:val="nil"/>
          <w:right w:val="nil"/>
          <w:between w:val="nil"/>
        </w:pBdr>
        <w:spacing w:after="200" w:line="240" w:lineRule="auto"/>
        <w:jc w:val="both"/>
        <w:rPr>
          <w:rFonts w:ascii="Titillium Web" w:eastAsia="Titillium Web" w:hAnsi="Titillium Web" w:cs="Titillium Web"/>
        </w:rPr>
      </w:pPr>
    </w:p>
    <w:p w:rsidR="00885929" w:rsidRDefault="007F469E">
      <w:pPr>
        <w:pStyle w:val="Titolo5"/>
        <w:widowControl w:val="0"/>
        <w:spacing w:before="0"/>
        <w:rPr>
          <w:sz w:val="22"/>
          <w:szCs w:val="22"/>
        </w:rPr>
      </w:pPr>
      <w:bookmarkStart w:id="54" w:name="_vomxtpqris3o" w:colFirst="0" w:colLast="0"/>
      <w:bookmarkEnd w:id="54"/>
      <w:r>
        <w:rPr>
          <w:sz w:val="22"/>
          <w:szCs w:val="22"/>
        </w:rPr>
        <w:t>MISURA GEN. N. 8 - CONTROLLI SU EROGAZIONE DI CONTRIBUTI ECONOMICI</w:t>
      </w:r>
    </w:p>
    <w:p w:rsidR="00885929" w:rsidRDefault="007F469E">
      <w:pPr>
        <w:widowControl w:val="0"/>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u w:val="single"/>
        </w:rPr>
        <w:t>L’art. 26, comma 1 del d.lgs. 33/2013</w:t>
      </w:r>
      <w:r>
        <w:rPr>
          <w:rFonts w:ascii="Titillium Web" w:eastAsia="Titillium Web" w:hAnsi="Titillium Web" w:cs="Titillium Web"/>
          <w:highlight w:val="white"/>
        </w:rPr>
        <w:t xml:space="preserve"> (come modificato dal d.lgs. 97/2016) prevede la pubblicazione degli atti con i quali le </w:t>
      </w:r>
      <w:r>
        <w:rPr>
          <w:rFonts w:ascii="Titillium Web" w:eastAsia="Titillium Web" w:hAnsi="Titillium Web" w:cs="Titillium Web"/>
        </w:rPr>
        <w:t>P.A.</w:t>
      </w:r>
      <w:r>
        <w:rPr>
          <w:rFonts w:ascii="Titillium Web" w:eastAsia="Titillium Web" w:hAnsi="Titillium Web" w:cs="Titillium Web"/>
          <w:highlight w:val="white"/>
        </w:rPr>
        <w:t xml:space="preserve"> determinano, ai sensi dell’art. 12 della legge 241/1990, criteri e modalità per la concessione di sovvenzioni, contributi, sussidi ed ausili finanziari, nonché per attribuire vantaggi economici di qualunque genere a persone, enti pubblici ed enti privati.</w:t>
      </w:r>
    </w:p>
    <w:p w:rsidR="00885929" w:rsidRDefault="007F469E">
      <w:pPr>
        <w:widowControl w:val="0"/>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u w:val="single"/>
        </w:rPr>
        <w:t>L’art. 26, comma 2</w:t>
      </w:r>
      <w:r>
        <w:rPr>
          <w:rFonts w:ascii="Titillium Web" w:eastAsia="Titillium Web" w:hAnsi="Titillium Web" w:cs="Titillium Web"/>
          <w:i/>
          <w:iCs/>
          <w:highlight w:val="white"/>
        </w:rPr>
        <w:t xml:space="preserve">, </w:t>
      </w:r>
      <w:r>
        <w:rPr>
          <w:rFonts w:ascii="Titillium Web" w:eastAsia="Titillium Web" w:hAnsi="Titillium Web" w:cs="Titillium Web"/>
          <w:highlight w:val="white"/>
        </w:rPr>
        <w:t xml:space="preserve">impone la pubblicazione dei provvedimenti di concessione di benefici superiori a 1.000 euro, assegnati allo stesso beneficiario, nel corso dell’anno solare. La pubblicazione, che è dovuta anche qualora il limite venga superato con più provvedimenti, costituisce condizione di legale di efficacia del provvedimento di attribuzione del vantaggio (art. 26 comma 3). </w:t>
      </w:r>
    </w:p>
    <w:p w:rsidR="00885929" w:rsidRDefault="007F469E">
      <w:pPr>
        <w:widowControl w:val="0"/>
        <w:spacing w:after="200" w:line="240" w:lineRule="auto"/>
        <w:jc w:val="both"/>
        <w:rPr>
          <w:rFonts w:ascii="Titillium Web" w:eastAsia="Titillium Web" w:hAnsi="Titillium Web" w:cs="Titillium Web"/>
          <w:b/>
          <w:bCs/>
        </w:rPr>
      </w:pPr>
      <w:r>
        <w:rPr>
          <w:rFonts w:ascii="Titillium Web" w:eastAsia="Titillium Web" w:hAnsi="Titillium Web" w:cs="Titillium Web"/>
          <w:b/>
          <w:bCs/>
        </w:rPr>
        <w:t xml:space="preserve">La pubblicazione deve avvenire tempestivamente e, comunque, prima della liquidazione delle somme che costituiscono il contributo. </w:t>
      </w:r>
    </w:p>
    <w:p w:rsidR="00885929" w:rsidRDefault="007F469E">
      <w:pPr>
        <w:widowControl w:val="0"/>
        <w:spacing w:after="200" w:line="240" w:lineRule="auto"/>
        <w:jc w:val="both"/>
        <w:rPr>
          <w:rFonts w:ascii="Titillium Web" w:eastAsia="Titillium Web" w:hAnsi="Titillium Web" w:cs="Titillium Web"/>
          <w:b/>
          <w:bCs/>
          <w:highlight w:val="white"/>
        </w:rPr>
      </w:pPr>
      <w:r>
        <w:rPr>
          <w:rFonts w:ascii="Titillium Web" w:eastAsia="Titillium Web" w:hAnsi="Titillium Web" w:cs="Titillium Web"/>
          <w:b/>
          <w:bCs/>
          <w:highlight w:val="white"/>
        </w:rPr>
        <w:lastRenderedPageBreak/>
        <w:t xml:space="preserve">L’obbligo di pubblicazione sussiste solo laddove il totale dei contributi concessi allo stesso beneficiario, nel corso dell’anno solare, sia superiore a 1.000 euro. </w:t>
      </w:r>
    </w:p>
    <w:p w:rsidR="00885929" w:rsidRDefault="007F469E">
      <w:pPr>
        <w:widowControl w:val="0"/>
        <w:spacing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u w:val="single"/>
        </w:rPr>
        <w:t>L’art. 26, comma 4,</w:t>
      </w:r>
      <w:r>
        <w:rPr>
          <w:rFonts w:ascii="Titillium Web" w:eastAsia="Titillium Web" w:hAnsi="Titillium Web" w:cs="Titillium Web"/>
          <w:i/>
          <w:iCs/>
          <w:highlight w:val="white"/>
        </w:rPr>
        <w:t xml:space="preserve"> </w:t>
      </w:r>
      <w:r>
        <w:rPr>
          <w:rFonts w:ascii="Titillium Web" w:eastAsia="Titillium Web" w:hAnsi="Titillium Web" w:cs="Titillium Web"/>
          <w:highlight w:val="white"/>
        </w:rPr>
        <w:t xml:space="preserve">esclude la pubblicazione dei dati identificativi delle persone fisiche beneficiarie qualora sia possibile desumere informazioni sullo stato di salute, ovvero sulla condizione di disagio economico-sociale dell’interessato. </w:t>
      </w:r>
    </w:p>
    <w:p w:rsidR="00885929" w:rsidRDefault="007F469E">
      <w:pPr>
        <w:keepNext/>
        <w:spacing w:before="120" w:after="200" w:line="240" w:lineRule="auto"/>
        <w:jc w:val="both"/>
        <w:rPr>
          <w:rFonts w:ascii="Titillium Web" w:eastAsia="Titillium Web" w:hAnsi="Titillium Web" w:cs="Titillium Web"/>
          <w:i/>
          <w:iCs/>
          <w:highlight w:val="white"/>
        </w:rPr>
      </w:pPr>
      <w:r>
        <w:rPr>
          <w:rFonts w:ascii="Titillium Web" w:eastAsia="Titillium Web" w:hAnsi="Titillium Web" w:cs="Titillium Web"/>
          <w:highlight w:val="white"/>
          <w:u w:val="single"/>
        </w:rPr>
        <w:t>L’art. 27 del d.lgs. 33/2013, invece elenca le informazioni da pubblicare</w:t>
      </w:r>
      <w:r>
        <w:rPr>
          <w:rFonts w:ascii="Titillium Web" w:eastAsia="Titillium Web" w:hAnsi="Titillium Web" w:cs="Titillium Web"/>
          <w:i/>
          <w:iCs/>
          <w:highlight w:val="white"/>
        </w:rPr>
        <w:t>:  il nome dell'impresa o dell'ente e i rispettivi dati fiscali, il nome di altro soggetto beneficiario; l'importo del vantaggio economico corrisposto; la norma o il titolo a base dell'attribuzione; l'ufficio e il dirigente responsabile del relativo procedimento amministrativo; la modalità seguita per l'individuazione del beneficiario; il link al progetto selezionato ed al curriculum del soggetto incaricato.</w:t>
      </w:r>
    </w:p>
    <w:p w:rsidR="00885929" w:rsidRDefault="007F469E">
      <w:pPr>
        <w:keepNext/>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b/>
          <w:bCs/>
          <w:highlight w:val="white"/>
        </w:rPr>
        <w:t>Tali informazioni, organizzate annualmente in unico elenco</w:t>
      </w:r>
      <w:r>
        <w:rPr>
          <w:rFonts w:ascii="Titillium Web" w:eastAsia="Titillium Web" w:hAnsi="Titillium Web" w:cs="Titillium Web"/>
          <w:highlight w:val="white"/>
        </w:rPr>
        <w:t xml:space="preserve">, sono registrate in Amministrazione trasparente (“Sovvenzioni, contributi, sussidi, vantaggi economici”, “Atti di concessione”) con modalità di facile consultazione, in formato tabellare aperto che ne consenta l'esportazione, il trattamento e il riutilizzo (art. 27 comma 2). </w:t>
      </w:r>
    </w:p>
    <w:p w:rsidR="00885929" w:rsidRDefault="007F469E">
      <w:pPr>
        <w:keepNext/>
        <w:spacing w:before="120" w:after="200" w:line="240" w:lineRule="auto"/>
        <w:jc w:val="both"/>
        <w:rPr>
          <w:rFonts w:ascii="Titillium Web" w:eastAsia="Titillium Web" w:hAnsi="Titillium Web" w:cs="Titillium Web"/>
          <w:highlight w:val="white"/>
        </w:rPr>
      </w:pPr>
      <w:r>
        <w:rPr>
          <w:rFonts w:ascii="Titillium Web" w:eastAsia="Titillium Web" w:hAnsi="Titillium Web" w:cs="Titillium Web"/>
          <w:highlight w:val="white"/>
        </w:rPr>
        <w:t>Pertanto - con riguardo alla CONCESSIONE DI CONTRIBUTI ECONOMICI ed altri ausili finanziari o attribuzione di vantaggi economici di qualunque genere - gli stessi devono essere concessi/erogati esclusivamente alle condizioni e secondo la disciplina dei Regolamenti comunali (secondo la previsione dell'art. 12 della legge 241/1990).</w:t>
      </w:r>
    </w:p>
    <w:p w:rsidR="00885929" w:rsidRDefault="007F469E">
      <w:pPr>
        <w:keepNext/>
        <w:spacing w:before="120" w:after="200" w:line="240" w:lineRule="auto"/>
        <w:jc w:val="both"/>
        <w:rPr>
          <w:rFonts w:ascii="Titillium Web" w:eastAsia="Titillium Web" w:hAnsi="Titillium Web" w:cs="Titillium Web"/>
        </w:rPr>
      </w:pPr>
      <w:r>
        <w:rPr>
          <w:rFonts w:ascii="Titillium Web" w:eastAsia="Titillium Web" w:hAnsi="Titillium Web" w:cs="Titillium Web"/>
          <w:highlight w:val="white"/>
        </w:rPr>
        <w:t>Ogni provvedimento di concessione/liquidazione di contributo economico deve essere prontamente pubblicato sul sito istituzionale dell’ente nella sezione “</w:t>
      </w:r>
      <w:r>
        <w:rPr>
          <w:rFonts w:ascii="Titillium Web" w:eastAsia="Titillium Web" w:hAnsi="Titillium Web" w:cs="Titillium Web"/>
          <w:i/>
          <w:iCs/>
          <w:highlight w:val="white"/>
        </w:rPr>
        <w:t>amministrazione trasparente</w:t>
      </w:r>
      <w:r>
        <w:rPr>
          <w:rFonts w:ascii="Titillium Web" w:eastAsia="Titillium Web" w:hAnsi="Titillium Web" w:cs="Titillium Web"/>
          <w:highlight w:val="white"/>
        </w:rPr>
        <w:t xml:space="preserve">”  </w:t>
      </w:r>
      <w:r>
        <w:rPr>
          <w:rFonts w:ascii="Titillium Web" w:eastAsia="Titillium Web" w:hAnsi="Titillium Web" w:cs="Titillium Web"/>
          <w:i/>
          <w:iCs/>
          <w:highlight w:val="white"/>
        </w:rPr>
        <w:t>(sovvenzione-contributi)</w:t>
      </w:r>
      <w:r>
        <w:rPr>
          <w:rFonts w:ascii="Titillium Web" w:eastAsia="Titillium Web" w:hAnsi="Titillium Web" w:cs="Titillium Web"/>
          <w:highlight w:val="white"/>
        </w:rPr>
        <w:t>, oltre che all’albo online e nella sezione “</w:t>
      </w:r>
      <w:r>
        <w:rPr>
          <w:rFonts w:ascii="Titillium Web" w:eastAsia="Titillium Web" w:hAnsi="Titillium Web" w:cs="Titillium Web"/>
          <w:i/>
          <w:iCs/>
          <w:highlight w:val="white"/>
        </w:rPr>
        <w:t>determinazioni/deliberazioni</w:t>
      </w:r>
      <w:r>
        <w:rPr>
          <w:rFonts w:ascii="Titillium Web" w:eastAsia="Titillium Web" w:hAnsi="Titillium Web" w:cs="Titillium Web"/>
          <w:highlight w:val="white"/>
        </w:rPr>
        <w:t>”.</w:t>
      </w:r>
    </w:p>
    <w:tbl>
      <w:tblPr>
        <w:tblStyle w:val="a6"/>
        <w:tblW w:w="9480" w:type="dxa"/>
        <w:tblInd w:w="0" w:type="dxa"/>
        <w:tblBorders>
          <w:top w:val="single" w:sz="6" w:space="0" w:color="CDD2D9"/>
          <w:left w:val="single" w:sz="6" w:space="0" w:color="CDD2D9"/>
          <w:bottom w:val="single" w:sz="6" w:space="0" w:color="CDD2D9"/>
          <w:right w:val="single" w:sz="6" w:space="0" w:color="CDD2D9"/>
          <w:insideH w:val="single" w:sz="6" w:space="0" w:color="CDD2D9"/>
          <w:insideV w:val="single" w:sz="6" w:space="0" w:color="CDD2D9"/>
        </w:tblBorders>
        <w:tblLayout w:type="fixed"/>
        <w:tblLook w:val="0600" w:firstRow="0" w:lastRow="0" w:firstColumn="0" w:lastColumn="0" w:noHBand="1" w:noVBand="1"/>
      </w:tblPr>
      <w:tblGrid>
        <w:gridCol w:w="2085"/>
        <w:gridCol w:w="7395"/>
      </w:tblGrid>
      <w:tr w:rsidR="00885929" w:rsidTr="00C248FA">
        <w:trPr>
          <w:trHeight w:val="645"/>
        </w:trPr>
        <w:tc>
          <w:tcPr>
            <w:tcW w:w="9480" w:type="dxa"/>
            <w:gridSpan w:val="2"/>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center"/>
              <w:rPr>
                <w:rFonts w:ascii="Titillium Web" w:eastAsia="Titillium Web" w:hAnsi="Titillium Web" w:cs="Titillium Web"/>
              </w:rPr>
            </w:pPr>
            <w:r>
              <w:rPr>
                <w:rFonts w:ascii="Titillium Web" w:eastAsia="Titillium Web" w:hAnsi="Titillium Web" w:cs="Titillium Web"/>
                <w:b/>
                <w:bCs/>
              </w:rPr>
              <w:t xml:space="preserve">TABELLA OPERATIVA </w:t>
            </w:r>
            <w:r>
              <w:rPr>
                <w:rFonts w:ascii="Titillium Web" w:eastAsia="Titillium Web" w:hAnsi="Titillium Web" w:cs="Titillium Web"/>
                <w:b/>
                <w:bCs/>
                <w:i/>
                <w:iCs/>
                <w:u w:val="single"/>
              </w:rPr>
              <w:t>MISURA N. 8 -  CONTROLLI SU EROGAZIONE DI CONTRIBUTI ECONOMICI</w:t>
            </w:r>
          </w:p>
        </w:tc>
      </w:tr>
      <w:tr w:rsidR="00885929" w:rsidTr="00C248FA">
        <w:trPr>
          <w:trHeight w:val="839"/>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Situazione 2024-25</w:t>
            </w:r>
          </w:p>
        </w:tc>
        <w:tc>
          <w:tcPr>
            <w:tcW w:w="739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 xml:space="preserve">avvenuta pubblicazione dei contributi economici in AT, ai sensi delle previsioni di cui agli artt. 26 e 27 del </w:t>
            </w:r>
            <w:proofErr w:type="spellStart"/>
            <w:r>
              <w:rPr>
                <w:rFonts w:ascii="Titillium Web" w:eastAsia="Titillium Web" w:hAnsi="Titillium Web" w:cs="Titillium Web"/>
              </w:rPr>
              <w:t>D.lgs</w:t>
            </w:r>
            <w:proofErr w:type="spellEnd"/>
            <w:r>
              <w:rPr>
                <w:rFonts w:ascii="Titillium Web" w:eastAsia="Titillium Web" w:hAnsi="Titillium Web" w:cs="Titillium Web"/>
              </w:rPr>
              <w:t xml:space="preserve"> 33/2013.</w:t>
            </w:r>
          </w:p>
        </w:tc>
      </w:tr>
      <w:tr w:rsidR="00885929" w:rsidTr="00C248FA">
        <w:trPr>
          <w:trHeight w:val="1493"/>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Obiettivo 2026-28</w:t>
            </w:r>
          </w:p>
        </w:tc>
        <w:tc>
          <w:tcPr>
            <w:tcW w:w="739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widowControl w:val="0"/>
              <w:spacing w:after="200" w:line="240" w:lineRule="auto"/>
              <w:jc w:val="both"/>
              <w:rPr>
                <w:rFonts w:ascii="Titillium Web" w:eastAsia="Titillium Web" w:hAnsi="Titillium Web" w:cs="Titillium Web"/>
              </w:rPr>
            </w:pPr>
            <w:r>
              <w:rPr>
                <w:rFonts w:ascii="Titillium Web" w:eastAsia="Titillium Web" w:hAnsi="Titillium Web" w:cs="Titillium Web"/>
              </w:rPr>
              <w:t xml:space="preserve">verificare che i Responsabili gestionali applichino i Regolamenti vigenti in materia di concessione di contributi economici, </w:t>
            </w:r>
            <w:r w:rsidR="00C248FA">
              <w:rPr>
                <w:rFonts w:ascii="Titillium Web" w:eastAsia="Titillium Web" w:hAnsi="Titillium Web" w:cs="Titillium Web"/>
              </w:rPr>
              <w:t>nonché</w:t>
            </w:r>
            <w:r>
              <w:rPr>
                <w:rFonts w:ascii="Titillium Web" w:eastAsia="Titillium Web" w:hAnsi="Titillium Web" w:cs="Titillium Web"/>
              </w:rPr>
              <w:t xml:space="preserve"> l’effettiva tempestiva pubblicazione dei provvedimenti di concessione dei contributi economici in AT, unitamente agli allegati previsti dagli artt. 26 e 27 del D. 33/2013</w:t>
            </w:r>
          </w:p>
        </w:tc>
      </w:tr>
      <w:tr w:rsidR="00885929" w:rsidTr="00C248FA">
        <w:trPr>
          <w:trHeight w:val="945"/>
        </w:trPr>
        <w:tc>
          <w:tcPr>
            <w:tcW w:w="208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b/>
                <w:bCs/>
                <w:sz w:val="20"/>
                <w:szCs w:val="20"/>
              </w:rPr>
            </w:pPr>
            <w:r>
              <w:rPr>
                <w:rFonts w:ascii="Titillium Web" w:eastAsia="Titillium Web" w:hAnsi="Titillium Web" w:cs="Titillium Web"/>
                <w:b/>
                <w:bCs/>
                <w:sz w:val="20"/>
                <w:szCs w:val="20"/>
              </w:rPr>
              <w:t>Monitoraggio previsto 2026-28</w:t>
            </w:r>
          </w:p>
        </w:tc>
        <w:tc>
          <w:tcPr>
            <w:tcW w:w="7395"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tcPr>
          <w:p w:rsidR="00885929" w:rsidRDefault="007F469E">
            <w:pPr>
              <w:spacing w:after="200" w:line="240" w:lineRule="auto"/>
              <w:jc w:val="both"/>
              <w:rPr>
                <w:rFonts w:ascii="Titillium Web" w:eastAsia="Titillium Web" w:hAnsi="Titillium Web" w:cs="Titillium Web"/>
              </w:rPr>
            </w:pPr>
            <w:r>
              <w:rPr>
                <w:rFonts w:ascii="Titillium Web" w:eastAsia="Titillium Web" w:hAnsi="Titillium Web" w:cs="Titillium Web"/>
              </w:rPr>
              <w:t>verifica e monitoraggio almeno semestrale.</w:t>
            </w:r>
          </w:p>
        </w:tc>
      </w:tr>
    </w:tbl>
    <w:p w:rsidR="00885929" w:rsidRDefault="007F469E">
      <w:pPr>
        <w:pStyle w:val="Titolo4"/>
        <w:widowControl w:val="0"/>
        <w:jc w:val="left"/>
      </w:pPr>
      <w:bookmarkStart w:id="55" w:name="_wk097gldtx4q" w:colFirst="0" w:colLast="0"/>
      <w:bookmarkEnd w:id="55"/>
      <w:r>
        <w:br w:type="page"/>
      </w:r>
    </w:p>
    <w:p w:rsidR="00885929" w:rsidRDefault="007F469E">
      <w:pPr>
        <w:pStyle w:val="Titolo4"/>
        <w:widowControl w:val="0"/>
        <w:jc w:val="left"/>
      </w:pPr>
      <w:bookmarkStart w:id="56" w:name="_d6oalbtuulog" w:colFirst="0" w:colLast="0"/>
      <w:bookmarkEnd w:id="56"/>
      <w:r>
        <w:lastRenderedPageBreak/>
        <w:t xml:space="preserve">7 - Monitoraggio e riesame delle misure </w:t>
      </w:r>
    </w:p>
    <w:p w:rsidR="00885929" w:rsidRDefault="007F469E">
      <w:pPr>
        <w:spacing w:before="120" w:after="200" w:line="240" w:lineRule="auto"/>
        <w:jc w:val="both"/>
        <w:rPr>
          <w:rFonts w:ascii="Titillium Web" w:eastAsia="Titillium Web" w:hAnsi="Titillium Web" w:cs="Titillium Web"/>
          <w:i/>
          <w:iCs/>
        </w:rPr>
      </w:pPr>
      <w:r>
        <w:rPr>
          <w:rFonts w:ascii="Titillium Web" w:eastAsia="Titillium Web" w:hAnsi="Titillium Web" w:cs="Titillium Web"/>
          <w:i/>
          <w:iCs/>
          <w:highlight w:val="white"/>
        </w:rPr>
        <w:t xml:space="preserve">Per l’ANAC, monitoraggio e riesame periodico sono fasi essenziali dell’intero processo di gestione del rischio, che </w:t>
      </w:r>
      <w:r>
        <w:rPr>
          <w:rFonts w:ascii="Titillium Web" w:eastAsia="Titillium Web" w:hAnsi="Titillium Web" w:cs="Titillium Web"/>
          <w:i/>
          <w:iCs/>
        </w:rPr>
        <w:t xml:space="preserve">consentono di verificare attuazione e adeguatezza delle misure di prevenzione della corruzione, nonché il complessivo funzionamento del processo consentendo, in tal modo, di apportare tempestivamente i correttivi che si rendessero necessari. </w:t>
      </w:r>
    </w:p>
    <w:p w:rsidR="00885929" w:rsidRDefault="007F469E">
      <w:pPr>
        <w:spacing w:before="120" w:after="200" w:line="240" w:lineRule="auto"/>
        <w:jc w:val="both"/>
        <w:rPr>
          <w:rFonts w:ascii="Titillium Web" w:eastAsia="Titillium Web" w:hAnsi="Titillium Web" w:cs="Titillium Web"/>
          <w:i/>
          <w:iCs/>
        </w:rPr>
      </w:pPr>
      <w:r>
        <w:rPr>
          <w:rFonts w:ascii="Titillium Web" w:eastAsia="Titillium Web" w:hAnsi="Titillium Web" w:cs="Titillium Web"/>
          <w:i/>
          <w:iCs/>
          <w:u w:val="single"/>
        </w:rPr>
        <w:t>Il monitoraggio</w:t>
      </w:r>
      <w:r>
        <w:rPr>
          <w:rFonts w:ascii="Titillium Web" w:eastAsia="Titillium Web" w:hAnsi="Titillium Web" w:cs="Titillium Web"/>
          <w:b/>
          <w:bCs/>
          <w:i/>
          <w:iCs/>
        </w:rPr>
        <w:t xml:space="preserve"> </w:t>
      </w:r>
      <w:r>
        <w:rPr>
          <w:rFonts w:ascii="Titillium Web" w:eastAsia="Titillium Web" w:hAnsi="Titillium Web" w:cs="Titillium Web"/>
          <w:i/>
          <w:iCs/>
        </w:rPr>
        <w:t xml:space="preserve">è l’attività continuativa di verifica dell’attuazione e dell’idoneità delle singole misure di trattamento del rischio; </w:t>
      </w:r>
    </w:p>
    <w:p w:rsidR="00885929" w:rsidRDefault="007F469E">
      <w:pPr>
        <w:spacing w:before="120" w:after="200" w:line="240" w:lineRule="auto"/>
        <w:jc w:val="both"/>
        <w:rPr>
          <w:rFonts w:ascii="Titillium Web" w:eastAsia="Titillium Web" w:hAnsi="Titillium Web" w:cs="Titillium Web"/>
          <w:i/>
          <w:iCs/>
        </w:rPr>
      </w:pPr>
      <w:r>
        <w:rPr>
          <w:rFonts w:ascii="Titillium Web" w:eastAsia="Titillium Web" w:hAnsi="Titillium Web" w:cs="Titillium Web"/>
          <w:i/>
          <w:iCs/>
          <w:u w:val="single"/>
        </w:rPr>
        <w:t>Il riesame</w:t>
      </w:r>
      <w:r>
        <w:rPr>
          <w:rFonts w:ascii="Titillium Web" w:eastAsia="Titillium Web" w:hAnsi="Titillium Web" w:cs="Titillium Web"/>
          <w:i/>
          <w:iCs/>
        </w:rPr>
        <w:t xml:space="preserve">, invece, è l’attività “svolta ad intervalli programmati che riguarda il funzionamento del sistema nel suo complesso”.  </w:t>
      </w:r>
    </w:p>
    <w:p w:rsidR="00885929" w:rsidRDefault="007F469E">
      <w:pPr>
        <w:spacing w:before="120" w:after="200" w:line="240" w:lineRule="auto"/>
        <w:jc w:val="both"/>
        <w:rPr>
          <w:rFonts w:ascii="Titillium Web" w:eastAsia="Titillium Web" w:hAnsi="Titillium Web" w:cs="Titillium Web"/>
          <w:i/>
          <w:iCs/>
        </w:rPr>
      </w:pPr>
      <w:r>
        <w:rPr>
          <w:rFonts w:ascii="Titillium Web" w:eastAsia="Titillium Web" w:hAnsi="Titillium Web" w:cs="Titillium Web"/>
          <w:i/>
          <w:iCs/>
        </w:rPr>
        <w:t>I risultati del monitoraggio devono essere utilizzati per svolgere il riesame periodico della funzionalità complessiva del sistema e delle politiche di contrasto della corruzione.</w:t>
      </w:r>
    </w:p>
    <w:p w:rsidR="00885929" w:rsidRDefault="007F469E">
      <w:pPr>
        <w:keepNext/>
        <w:spacing w:before="120" w:after="200" w:line="240" w:lineRule="auto"/>
        <w:jc w:val="both"/>
        <w:rPr>
          <w:rFonts w:ascii="Titillium Web" w:eastAsia="Titillium Web" w:hAnsi="Titillium Web" w:cs="Titillium Web"/>
        </w:rPr>
      </w:pPr>
      <w:r w:rsidRPr="0049269D">
        <w:rPr>
          <w:rFonts w:ascii="Titillium Web" w:eastAsia="Titillium Web" w:hAnsi="Titillium Web" w:cs="Titillium Web"/>
          <w:b/>
          <w:bCs/>
        </w:rPr>
        <w:t xml:space="preserve">Il </w:t>
      </w:r>
      <w:r w:rsidR="0049269D" w:rsidRPr="0049269D">
        <w:rPr>
          <w:rFonts w:ascii="Titillium Web" w:eastAsia="Titillium Web" w:hAnsi="Titillium Web" w:cs="Titillium Web"/>
          <w:b/>
          <w:bCs/>
        </w:rPr>
        <w:t>Responsabile Finanziario</w:t>
      </w:r>
      <w:r w:rsidRPr="0049269D">
        <w:rPr>
          <w:rFonts w:ascii="Titillium Web" w:eastAsia="Titillium Web" w:hAnsi="Titillium Web" w:cs="Titillium Web"/>
          <w:b/>
          <w:bCs/>
        </w:rPr>
        <w:t xml:space="preserve"> organizza e dirige il monitoraggio delle misure programmate</w:t>
      </w:r>
      <w:r w:rsidRPr="0049269D">
        <w:rPr>
          <w:rFonts w:ascii="Titillium Web" w:eastAsia="Titillium Web" w:hAnsi="Titillium Web" w:cs="Titillium Web"/>
        </w:rPr>
        <w:t xml:space="preserve"> di cui al paragrafo 6 precedente. </w:t>
      </w:r>
      <w:r>
        <w:rPr>
          <w:rFonts w:ascii="Titillium Web" w:eastAsia="Titillium Web" w:hAnsi="Titillium Web" w:cs="Titillium Web"/>
        </w:rPr>
        <w:t xml:space="preserve"> </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Ai fini del monitoraggio </w:t>
      </w:r>
      <w:r>
        <w:rPr>
          <w:rFonts w:ascii="Titillium Web" w:eastAsia="Titillium Web" w:hAnsi="Titillium Web" w:cs="Titillium Web"/>
          <w:b/>
          <w:bCs/>
        </w:rPr>
        <w:t>i Responsabili P.O. sono tenuti a collaborare</w:t>
      </w:r>
      <w:r>
        <w:rPr>
          <w:rFonts w:ascii="Titillium Web" w:eastAsia="Titillium Web" w:hAnsi="Titillium Web" w:cs="Titillium Web"/>
        </w:rPr>
        <w:t xml:space="preserve"> con il RPCT e forniscono ogni informazione che lo stesso ritenga utile.   </w:t>
      </w:r>
    </w:p>
    <w:p w:rsidR="00885929" w:rsidRDefault="007F469E">
      <w:pPr>
        <w:spacing w:before="120" w:after="200" w:line="240" w:lineRule="auto"/>
        <w:jc w:val="both"/>
        <w:rPr>
          <w:rFonts w:ascii="Titillium Web" w:eastAsia="Titillium Web" w:hAnsi="Titillium Web" w:cs="Titillium Web"/>
        </w:rPr>
      </w:pPr>
      <w:r>
        <w:rPr>
          <w:rFonts w:ascii="Titillium Web" w:eastAsia="Titillium Web" w:hAnsi="Titillium Web" w:cs="Titillium Web"/>
        </w:rPr>
        <w:t xml:space="preserve">Il RPCT, i cui  compiti principali sono quelli di controllare l’attuazione e l’aggiornamento  degli obiettivi di prevenzione della corruzione e di trasparenza, riferisce annualmente agli organi di indirizzo  politico ed al Nucleo di valutazione anche su eventuali inadempimenti e  ritardi. </w:t>
      </w:r>
    </w:p>
    <w:p w:rsidR="00885929" w:rsidRDefault="007F469E">
      <w:pPr>
        <w:widowControl w:val="0"/>
        <w:spacing w:before="8" w:after="200" w:line="243" w:lineRule="auto"/>
        <w:ind w:right="56"/>
        <w:jc w:val="both"/>
      </w:pPr>
      <w:r>
        <w:rPr>
          <w:rFonts w:ascii="Titillium Web" w:eastAsia="Titillium Web" w:hAnsi="Titillium Web" w:cs="Titillium Web"/>
        </w:rPr>
        <w:t xml:space="preserve">Il Nucleo di Valutazione attesta l'assolvimento degli obblighi relativi alla  trasparenza, attraverso le verifiche annuali in conformità alle indicazioni  dell'ANAC. </w:t>
      </w:r>
    </w:p>
    <w:p w:rsidR="00885929" w:rsidRDefault="00885929">
      <w:pPr>
        <w:pStyle w:val="Titolo4"/>
        <w:keepNext w:val="0"/>
        <w:keepLines w:val="0"/>
        <w:rPr>
          <w:sz w:val="22"/>
          <w:szCs w:val="22"/>
        </w:rPr>
      </w:pPr>
      <w:bookmarkStart w:id="57" w:name="_7v4vs6beytfh" w:colFirst="0" w:colLast="0"/>
      <w:bookmarkEnd w:id="57"/>
    </w:p>
    <w:p w:rsidR="00885929" w:rsidRDefault="00E07952">
      <w:pPr>
        <w:spacing w:after="200" w:line="240" w:lineRule="auto"/>
        <w:jc w:val="both"/>
        <w:rPr>
          <w:rFonts w:ascii="Titillium Web" w:eastAsia="Titillium Web" w:hAnsi="Titillium Web" w:cs="Titillium Web"/>
        </w:rPr>
      </w:pPr>
      <w:r>
        <w:pict>
          <v:rect id="_x0000_i1025" style="width:0;height:1.5pt" o:hralign="center" o:hrstd="t" o:hr="t" fillcolor="#a0a0a0" stroked="f"/>
        </w:pict>
      </w:r>
    </w:p>
    <w:p w:rsidR="00885929" w:rsidRDefault="007F469E">
      <w:pPr>
        <w:spacing w:after="200" w:line="240" w:lineRule="auto"/>
        <w:jc w:val="both"/>
        <w:rPr>
          <w:rFonts w:ascii="Titillium Web" w:eastAsia="Titillium Web" w:hAnsi="Titillium Web" w:cs="Titillium Web"/>
          <w:b/>
          <w:bCs/>
        </w:rPr>
      </w:pPr>
      <w:r>
        <w:rPr>
          <w:rFonts w:ascii="Titillium Web" w:eastAsia="Titillium Web" w:hAnsi="Titillium Web" w:cs="Titillium Web"/>
          <w:b/>
          <w:bCs/>
        </w:rPr>
        <w:t>Allegati:</w:t>
      </w:r>
    </w:p>
    <w:p w:rsidR="00885929" w:rsidRDefault="007F469E">
      <w:pPr>
        <w:numPr>
          <w:ilvl w:val="0"/>
          <w:numId w:val="5"/>
        </w:numPr>
        <w:spacing w:after="200" w:line="240" w:lineRule="auto"/>
        <w:jc w:val="both"/>
      </w:pPr>
      <w:r>
        <w:rPr>
          <w:rFonts w:ascii="Titillium Web" w:eastAsia="Titillium Web" w:hAnsi="Titillium Web" w:cs="Titillium Web"/>
          <w:b/>
          <w:bCs/>
        </w:rPr>
        <w:t>TABELLA A:</w:t>
      </w:r>
      <w:r>
        <w:rPr>
          <w:rFonts w:ascii="Titillium Web" w:eastAsia="Titillium Web" w:hAnsi="Titillium Web" w:cs="Titillium Web"/>
        </w:rPr>
        <w:t xml:space="preserve"> Mappatura semplificata dei processi.</w:t>
      </w:r>
    </w:p>
    <w:p w:rsidR="00885929" w:rsidRDefault="007F469E">
      <w:pPr>
        <w:numPr>
          <w:ilvl w:val="0"/>
          <w:numId w:val="5"/>
        </w:numPr>
        <w:spacing w:after="200" w:line="240" w:lineRule="auto"/>
        <w:jc w:val="both"/>
      </w:pPr>
      <w:r>
        <w:rPr>
          <w:rFonts w:ascii="Titillium Web" w:eastAsia="Titillium Web" w:hAnsi="Titillium Web" w:cs="Titillium Web"/>
          <w:b/>
          <w:bCs/>
        </w:rPr>
        <w:t>TABELLA B:</w:t>
      </w:r>
      <w:r>
        <w:rPr>
          <w:rFonts w:ascii="Titillium Web" w:eastAsia="Titillium Web" w:hAnsi="Titillium Web" w:cs="Titillium Web"/>
        </w:rPr>
        <w:t xml:space="preserve"> Analisi qualitativa motivata dei rischi.</w:t>
      </w:r>
    </w:p>
    <w:p w:rsidR="00885929" w:rsidRDefault="007F469E">
      <w:pPr>
        <w:numPr>
          <w:ilvl w:val="0"/>
          <w:numId w:val="5"/>
        </w:numPr>
        <w:spacing w:after="200" w:line="240" w:lineRule="auto"/>
        <w:jc w:val="both"/>
      </w:pPr>
      <w:r>
        <w:rPr>
          <w:rFonts w:ascii="Titillium Web" w:eastAsia="Titillium Web" w:hAnsi="Titillium Web" w:cs="Titillium Web"/>
          <w:b/>
          <w:bCs/>
        </w:rPr>
        <w:t>TABELLA C:</w:t>
      </w:r>
      <w:r>
        <w:rPr>
          <w:rFonts w:ascii="Titillium Web" w:eastAsia="Titillium Web" w:hAnsi="Titillium Web" w:cs="Titillium Web"/>
        </w:rPr>
        <w:t xml:space="preserve"> Obblighi di pubblicazione e mappa dei link</w:t>
      </w:r>
    </w:p>
    <w:p w:rsidR="00885929" w:rsidRDefault="00885929">
      <w:pPr>
        <w:spacing w:after="200" w:line="240" w:lineRule="auto"/>
        <w:jc w:val="both"/>
        <w:rPr>
          <w:rFonts w:ascii="Titillium Web" w:eastAsia="Titillium Web" w:hAnsi="Titillium Web" w:cs="Titillium Web"/>
        </w:rPr>
      </w:pPr>
    </w:p>
    <w:sectPr w:rsidR="00885929">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69D" w:rsidRDefault="0049269D" w:rsidP="006E6725">
      <w:pPr>
        <w:spacing w:line="240" w:lineRule="auto"/>
      </w:pPr>
      <w:r>
        <w:separator/>
      </w:r>
    </w:p>
  </w:endnote>
  <w:endnote w:type="continuationSeparator" w:id="0">
    <w:p w:rsidR="0049269D" w:rsidRDefault="0049269D" w:rsidP="006E6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mes New Roman"/>
    <w:charset w:val="00"/>
    <w:family w:val="auto"/>
    <w:pitch w:val="default"/>
    <w:embedRegular r:id="rId1" w:fontKey="{DB494D27-F79B-4435-9773-495D4C2909A9}"/>
    <w:embedBold r:id="rId2" w:fontKey="{F90F2FDF-B812-4851-8074-48DC2DD34EF8}"/>
    <w:embedItalic r:id="rId3" w:fontKey="{C754B983-46E4-492A-99C6-0E54A750A46C}"/>
    <w:embedBoldItalic r:id="rId4" w:fontKey="{31BF2BB9-9D8B-439A-A61E-4C5A4B7676B4}"/>
  </w:font>
  <w:font w:name="Calibri">
    <w:panose1 w:val="020F0502020204030204"/>
    <w:charset w:val="00"/>
    <w:family w:val="swiss"/>
    <w:pitch w:val="variable"/>
    <w:sig w:usb0="E4002EFF" w:usb1="C000247B" w:usb2="00000009" w:usb3="00000000" w:csb0="000001FF" w:csb1="00000000"/>
    <w:embedRegular r:id="rId5" w:fontKey="{9ED5CB45-68D0-4F65-8E3E-2AD4249D2768}"/>
    <w:embedItalic r:id="rId6" w:fontKey="{E398CDF5-74B4-4192-A9D2-E76287C39CFE}"/>
  </w:font>
  <w:font w:name="PT Mono">
    <w:charset w:val="00"/>
    <w:family w:val="auto"/>
    <w:pitch w:val="default"/>
    <w:embedBold r:id="rId7" w:fontKey="{7C3DF38E-5014-4C9F-97CA-6C8DCA8DEBF8}"/>
  </w:font>
  <w:font w:name="Cambria">
    <w:panose1 w:val="02040503050406030204"/>
    <w:charset w:val="00"/>
    <w:family w:val="roman"/>
    <w:pitch w:val="variable"/>
    <w:sig w:usb0="E00006FF" w:usb1="420024FF" w:usb2="02000000" w:usb3="00000000" w:csb0="0000019F" w:csb1="00000000"/>
    <w:embedRegular r:id="rId8" w:fontKey="{972535F0-A2EC-4BA5-B59F-E32045313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443108"/>
      <w:docPartObj>
        <w:docPartGallery w:val="Page Numbers (Bottom of Page)"/>
        <w:docPartUnique/>
      </w:docPartObj>
    </w:sdtPr>
    <w:sdtEndPr/>
    <w:sdtContent>
      <w:p w:rsidR="0049269D" w:rsidRDefault="0049269D">
        <w:pPr>
          <w:pStyle w:val="Pidipagina"/>
          <w:jc w:val="right"/>
        </w:pPr>
        <w:r>
          <w:fldChar w:fldCharType="begin"/>
        </w:r>
        <w:r>
          <w:instrText>PAGE   \* MERGEFORMAT</w:instrText>
        </w:r>
        <w:r>
          <w:fldChar w:fldCharType="separate"/>
        </w:r>
        <w:r w:rsidR="00E07952" w:rsidRPr="00E07952">
          <w:rPr>
            <w:noProof/>
            <w:lang w:val="it-IT"/>
          </w:rPr>
          <w:t>14</w:t>
        </w:r>
        <w:r>
          <w:fldChar w:fldCharType="end"/>
        </w:r>
      </w:p>
    </w:sdtContent>
  </w:sdt>
  <w:p w:rsidR="0049269D" w:rsidRDefault="0049269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69D" w:rsidRDefault="0049269D" w:rsidP="006E6725">
      <w:pPr>
        <w:spacing w:line="240" w:lineRule="auto"/>
      </w:pPr>
      <w:r>
        <w:separator/>
      </w:r>
    </w:p>
  </w:footnote>
  <w:footnote w:type="continuationSeparator" w:id="0">
    <w:p w:rsidR="0049269D" w:rsidRDefault="0049269D" w:rsidP="006E672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04B9"/>
    <w:multiLevelType w:val="multilevel"/>
    <w:tmpl w:val="DE4A4C90"/>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nsid w:val="04B70D03"/>
    <w:multiLevelType w:val="multilevel"/>
    <w:tmpl w:val="C3E6FD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9BC2351"/>
    <w:multiLevelType w:val="multilevel"/>
    <w:tmpl w:val="1C483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DC85F5D"/>
    <w:multiLevelType w:val="multilevel"/>
    <w:tmpl w:val="91643E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15516905"/>
    <w:multiLevelType w:val="multilevel"/>
    <w:tmpl w:val="3F6A4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A142373"/>
    <w:multiLevelType w:val="multilevel"/>
    <w:tmpl w:val="7208F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863680"/>
    <w:multiLevelType w:val="multilevel"/>
    <w:tmpl w:val="F848A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48528FC"/>
    <w:multiLevelType w:val="multilevel"/>
    <w:tmpl w:val="FEB02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7435C91"/>
    <w:multiLevelType w:val="multilevel"/>
    <w:tmpl w:val="E1AE7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FE03E81"/>
    <w:multiLevelType w:val="multilevel"/>
    <w:tmpl w:val="29843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2EB72F5"/>
    <w:multiLevelType w:val="multilevel"/>
    <w:tmpl w:val="FEB62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D700216"/>
    <w:multiLevelType w:val="multilevel"/>
    <w:tmpl w:val="8A9CFB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52733A42"/>
    <w:multiLevelType w:val="multilevel"/>
    <w:tmpl w:val="905EC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545141"/>
    <w:multiLevelType w:val="multilevel"/>
    <w:tmpl w:val="C5AA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91B1906"/>
    <w:multiLevelType w:val="multilevel"/>
    <w:tmpl w:val="87649684"/>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5">
    <w:nsid w:val="5AAE1D47"/>
    <w:multiLevelType w:val="multilevel"/>
    <w:tmpl w:val="B10EF7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5AC462BA"/>
    <w:multiLevelType w:val="multilevel"/>
    <w:tmpl w:val="B09A82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64573C40"/>
    <w:multiLevelType w:val="multilevel"/>
    <w:tmpl w:val="5B6A6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7846E74"/>
    <w:multiLevelType w:val="multilevel"/>
    <w:tmpl w:val="2C308F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nsid w:val="70B644D0"/>
    <w:multiLevelType w:val="multilevel"/>
    <w:tmpl w:val="5F34D7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7DF20FB9"/>
    <w:multiLevelType w:val="multilevel"/>
    <w:tmpl w:val="AC3A9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2"/>
  </w:num>
  <w:num w:numId="3">
    <w:abstractNumId w:val="19"/>
  </w:num>
  <w:num w:numId="4">
    <w:abstractNumId w:val="17"/>
  </w:num>
  <w:num w:numId="5">
    <w:abstractNumId w:val="4"/>
  </w:num>
  <w:num w:numId="6">
    <w:abstractNumId w:val="1"/>
  </w:num>
  <w:num w:numId="7">
    <w:abstractNumId w:val="9"/>
  </w:num>
  <w:num w:numId="8">
    <w:abstractNumId w:val="0"/>
  </w:num>
  <w:num w:numId="9">
    <w:abstractNumId w:val="15"/>
  </w:num>
  <w:num w:numId="10">
    <w:abstractNumId w:val="10"/>
  </w:num>
  <w:num w:numId="11">
    <w:abstractNumId w:val="7"/>
  </w:num>
  <w:num w:numId="12">
    <w:abstractNumId w:val="5"/>
  </w:num>
  <w:num w:numId="13">
    <w:abstractNumId w:val="6"/>
  </w:num>
  <w:num w:numId="14">
    <w:abstractNumId w:val="20"/>
  </w:num>
  <w:num w:numId="15">
    <w:abstractNumId w:val="14"/>
  </w:num>
  <w:num w:numId="16">
    <w:abstractNumId w:val="16"/>
  </w:num>
  <w:num w:numId="17">
    <w:abstractNumId w:val="8"/>
  </w:num>
  <w:num w:numId="18">
    <w:abstractNumId w:val="13"/>
  </w:num>
  <w:num w:numId="19">
    <w:abstractNumId w:val="3"/>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929"/>
    <w:rsid w:val="00046AB6"/>
    <w:rsid w:val="00062CCE"/>
    <w:rsid w:val="001A53DB"/>
    <w:rsid w:val="001C67DC"/>
    <w:rsid w:val="002A4D9D"/>
    <w:rsid w:val="002D4C46"/>
    <w:rsid w:val="002E4C0F"/>
    <w:rsid w:val="003A07AF"/>
    <w:rsid w:val="003A2BA7"/>
    <w:rsid w:val="003C7BE0"/>
    <w:rsid w:val="0049269D"/>
    <w:rsid w:val="00512130"/>
    <w:rsid w:val="005E1D50"/>
    <w:rsid w:val="006B5CC6"/>
    <w:rsid w:val="006C242E"/>
    <w:rsid w:val="006E6725"/>
    <w:rsid w:val="00704C3D"/>
    <w:rsid w:val="007F469E"/>
    <w:rsid w:val="008274D5"/>
    <w:rsid w:val="00835544"/>
    <w:rsid w:val="008656AA"/>
    <w:rsid w:val="00885929"/>
    <w:rsid w:val="00967FA9"/>
    <w:rsid w:val="009D36E1"/>
    <w:rsid w:val="009D5F0A"/>
    <w:rsid w:val="00A01577"/>
    <w:rsid w:val="00A25F44"/>
    <w:rsid w:val="00A51B65"/>
    <w:rsid w:val="00A93ADE"/>
    <w:rsid w:val="00AD3180"/>
    <w:rsid w:val="00B72A10"/>
    <w:rsid w:val="00B822A5"/>
    <w:rsid w:val="00B92A47"/>
    <w:rsid w:val="00C248FA"/>
    <w:rsid w:val="00C2767C"/>
    <w:rsid w:val="00C90484"/>
    <w:rsid w:val="00D876B5"/>
    <w:rsid w:val="00DE0493"/>
    <w:rsid w:val="00E07952"/>
    <w:rsid w:val="00E760A3"/>
    <w:rsid w:val="00EA0CA4"/>
    <w:rsid w:val="00EA58FA"/>
    <w:rsid w:val="00F10F23"/>
    <w:rsid w:val="00F86842"/>
    <w:rsid w:val="00FD1B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after="200" w:line="240" w:lineRule="auto"/>
      <w:jc w:val="both"/>
      <w:outlineLvl w:val="3"/>
    </w:pPr>
    <w:rPr>
      <w:rFonts w:ascii="Titillium Web" w:eastAsia="Titillium Web" w:hAnsi="Titillium Web" w:cs="Titillium Web"/>
      <w:b/>
      <w:bCs/>
      <w:sz w:val="26"/>
      <w:szCs w:val="26"/>
      <w:u w:val="single"/>
    </w:rPr>
  </w:style>
  <w:style w:type="paragraph" w:styleId="Titolo5">
    <w:name w:val="heading 5"/>
    <w:basedOn w:val="Normale"/>
    <w:next w:val="Normale"/>
    <w:uiPriority w:val="9"/>
    <w:unhideWhenUsed/>
    <w:qFormat/>
    <w:pPr>
      <w:keepNext/>
      <w:keepLines/>
      <w:spacing w:before="120" w:after="200" w:line="240" w:lineRule="auto"/>
      <w:jc w:val="both"/>
      <w:outlineLvl w:val="4"/>
    </w:pPr>
    <w:rPr>
      <w:rFonts w:ascii="Titillium Web" w:eastAsia="Titillium Web" w:hAnsi="Titillium Web" w:cs="Titillium Web"/>
      <w:b/>
      <w:bCs/>
      <w:color w:val="FF0000"/>
      <w:sz w:val="24"/>
      <w:szCs w:val="24"/>
      <w:highlight w:val="white"/>
      <w:u w:val="single"/>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6E672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E6725"/>
  </w:style>
  <w:style w:type="paragraph" w:styleId="Pidipagina">
    <w:name w:val="footer"/>
    <w:basedOn w:val="Normale"/>
    <w:link w:val="PidipaginaCarattere"/>
    <w:uiPriority w:val="99"/>
    <w:unhideWhenUsed/>
    <w:rsid w:val="006E672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E67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after="200" w:line="240" w:lineRule="auto"/>
      <w:jc w:val="both"/>
      <w:outlineLvl w:val="3"/>
    </w:pPr>
    <w:rPr>
      <w:rFonts w:ascii="Titillium Web" w:eastAsia="Titillium Web" w:hAnsi="Titillium Web" w:cs="Titillium Web"/>
      <w:b/>
      <w:bCs/>
      <w:sz w:val="26"/>
      <w:szCs w:val="26"/>
      <w:u w:val="single"/>
    </w:rPr>
  </w:style>
  <w:style w:type="paragraph" w:styleId="Titolo5">
    <w:name w:val="heading 5"/>
    <w:basedOn w:val="Normale"/>
    <w:next w:val="Normale"/>
    <w:uiPriority w:val="9"/>
    <w:unhideWhenUsed/>
    <w:qFormat/>
    <w:pPr>
      <w:keepNext/>
      <w:keepLines/>
      <w:spacing w:before="120" w:after="200" w:line="240" w:lineRule="auto"/>
      <w:jc w:val="both"/>
      <w:outlineLvl w:val="4"/>
    </w:pPr>
    <w:rPr>
      <w:rFonts w:ascii="Titillium Web" w:eastAsia="Titillium Web" w:hAnsi="Titillium Web" w:cs="Titillium Web"/>
      <w:b/>
      <w:bCs/>
      <w:color w:val="FF0000"/>
      <w:sz w:val="24"/>
      <w:szCs w:val="24"/>
      <w:highlight w:val="white"/>
      <w:u w:val="single"/>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6E672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E6725"/>
  </w:style>
  <w:style w:type="paragraph" w:styleId="Pidipagina">
    <w:name w:val="footer"/>
    <w:basedOn w:val="Normale"/>
    <w:link w:val="PidipaginaCarattere"/>
    <w:uiPriority w:val="99"/>
    <w:unhideWhenUsed/>
    <w:rsid w:val="006E672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E6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21</Pages>
  <Words>6476</Words>
  <Characters>36914</Characters>
  <Application>Microsoft Office Word</Application>
  <DocSecurity>0</DocSecurity>
  <Lines>307</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31</cp:revision>
  <dcterms:created xsi:type="dcterms:W3CDTF">2026-02-20T08:41:00Z</dcterms:created>
  <dcterms:modified xsi:type="dcterms:W3CDTF">2026-03-04T11:03:00Z</dcterms:modified>
</cp:coreProperties>
</file>