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96B" w:rsidRDefault="00764474">
      <w:pPr>
        <w:spacing w:before="240" w:after="120"/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2"/>
          <w:szCs w:val="22"/>
          <w:u w:val="single"/>
        </w:rPr>
        <w:t>TABELLA A</w:t>
      </w:r>
      <w:r>
        <w:rPr>
          <w:rFonts w:ascii="Times New Roman" w:eastAsia="Times New Roman" w:hAnsi="Times New Roman" w:cs="Times New Roman"/>
          <w:color w:val="FF0000"/>
          <w:sz w:val="22"/>
          <w:szCs w:val="2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2"/>
          <w:szCs w:val="22"/>
          <w:u w:val="single"/>
        </w:rPr>
        <w:t>- Mappatura dei Processi e Catalogo dei Rischi</w:t>
      </w:r>
      <w:r>
        <w:rPr>
          <w:rFonts w:ascii="Times New Roman" w:eastAsia="Times New Roman" w:hAnsi="Times New Roman" w:cs="Times New Roman"/>
          <w:b/>
          <w:bCs/>
          <w:color w:val="FF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(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aggiornata al 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PNA 2025 - Delibera 19/2026)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</w:p>
    <w:tbl>
      <w:tblPr>
        <w:tblStyle w:val="a0"/>
        <w:tblW w:w="142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5"/>
        <w:gridCol w:w="2213"/>
        <w:gridCol w:w="2041"/>
        <w:gridCol w:w="1858"/>
        <w:gridCol w:w="765"/>
        <w:gridCol w:w="1934"/>
        <w:gridCol w:w="3191"/>
        <w:gridCol w:w="1821"/>
      </w:tblGrid>
      <w:tr w:rsidR="00BE696B">
        <w:tc>
          <w:tcPr>
            <w:tcW w:w="456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n.id</w:t>
            </w:r>
          </w:p>
        </w:tc>
        <w:tc>
          <w:tcPr>
            <w:tcW w:w="2213" w:type="dxa"/>
            <w:vAlign w:val="center"/>
          </w:tcPr>
          <w:p w:rsidR="00BE696B" w:rsidRDefault="0076447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Area di Rischio</w:t>
            </w:r>
          </w:p>
        </w:tc>
        <w:tc>
          <w:tcPr>
            <w:tcW w:w="2041" w:type="dxa"/>
            <w:vAlign w:val="center"/>
          </w:tcPr>
          <w:p w:rsidR="00BE696B" w:rsidRDefault="0076447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Macro-Processo</w:t>
            </w:r>
          </w:p>
        </w:tc>
        <w:tc>
          <w:tcPr>
            <w:tcW w:w="1858" w:type="dxa"/>
            <w:vAlign w:val="center"/>
          </w:tcPr>
          <w:p w:rsidR="00BE696B" w:rsidRDefault="0076447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Catalogo dei Rischi Principali</w:t>
            </w:r>
          </w:p>
        </w:tc>
        <w:tc>
          <w:tcPr>
            <w:tcW w:w="765" w:type="dxa"/>
            <w:vAlign w:val="center"/>
          </w:tcPr>
          <w:p w:rsidR="00BE696B" w:rsidRDefault="0076447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Livello di Rischio</w:t>
            </w:r>
          </w:p>
        </w:tc>
        <w:tc>
          <w:tcPr>
            <w:tcW w:w="1934" w:type="dxa"/>
            <w:vAlign w:val="center"/>
          </w:tcPr>
          <w:p w:rsidR="00BE696B" w:rsidRDefault="0076447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Motivazione della Valutazione</w:t>
            </w:r>
          </w:p>
        </w:tc>
        <w:tc>
          <w:tcPr>
            <w:tcW w:w="3191" w:type="dxa"/>
            <w:vAlign w:val="center"/>
          </w:tcPr>
          <w:p w:rsidR="00BE696B" w:rsidRDefault="0076447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Misure di Prevenzione SPECIFICHE (Digitalizzazione)</w:t>
            </w:r>
          </w:p>
        </w:tc>
        <w:tc>
          <w:tcPr>
            <w:tcW w:w="1821" w:type="dxa"/>
            <w:vAlign w:val="center"/>
          </w:tcPr>
          <w:p w:rsidR="00BE696B" w:rsidRDefault="0076447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Responsabile (PO-EQ)</w:t>
            </w:r>
          </w:p>
        </w:tc>
      </w:tr>
      <w:tr w:rsidR="00BE696B">
        <w:tc>
          <w:tcPr>
            <w:tcW w:w="456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213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CONTRATTI PUBBLICI</w:t>
            </w:r>
          </w:p>
        </w:tc>
        <w:tc>
          <w:tcPr>
            <w:tcW w:w="2041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Gestione integrale del ciclo di vita dei contratti (dalla programmazione all'esecuzione)</w:t>
            </w:r>
          </w:p>
        </w:tc>
        <w:tc>
          <w:tcPr>
            <w:tcW w:w="1858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Mancato utilizzo PAD; </w:t>
            </w:r>
          </w:p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elusione rotazione; </w:t>
            </w:r>
          </w:p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omessa verifica requisiti; </w:t>
            </w:r>
          </w:p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varianti fittizie.</w:t>
            </w:r>
          </w:p>
        </w:tc>
        <w:tc>
          <w:tcPr>
            <w:tcW w:w="765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ALTO (A)</w:t>
            </w:r>
          </w:p>
        </w:tc>
        <w:tc>
          <w:tcPr>
            <w:tcW w:w="1934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Interessi economici rilevanti e nuovi obblighi di digitalizzazione integrale dal 2024.</w:t>
            </w:r>
          </w:p>
        </w:tc>
        <w:tc>
          <w:tcPr>
            <w:tcW w:w="3191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Utilizzo obbligatorio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PAD certificate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; </w:t>
            </w:r>
          </w:p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verifica requisiti OE solo con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FVOE  (&gt; 40k)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; </w:t>
            </w:r>
          </w:p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monitoraggio digitale esecuzione.</w:t>
            </w:r>
          </w:p>
        </w:tc>
        <w:tc>
          <w:tcPr>
            <w:tcW w:w="1821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TUTTE LE AREE (che affidano contratti)</w:t>
            </w:r>
          </w:p>
        </w:tc>
      </w:tr>
      <w:tr w:rsidR="00BE696B">
        <w:tc>
          <w:tcPr>
            <w:tcW w:w="456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213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SOVVENZIONI E CONTRIBUTI ECONOMICI</w:t>
            </w:r>
          </w:p>
        </w:tc>
        <w:tc>
          <w:tcPr>
            <w:tcW w:w="2041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Concessione di sovvenzioni, sussidi e vantaggi economici a persone/imprese</w:t>
            </w:r>
          </w:p>
        </w:tc>
        <w:tc>
          <w:tcPr>
            <w:tcW w:w="1858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favoritismi nell’attribuzione; </w:t>
            </w:r>
          </w:p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carenza di criteri o criteri vaghi</w:t>
            </w:r>
          </w:p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mancata pubblicazione</w:t>
            </w:r>
          </w:p>
        </w:tc>
        <w:tc>
          <w:tcPr>
            <w:tcW w:w="765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MEDIO (M)</w:t>
            </w:r>
          </w:p>
        </w:tc>
        <w:tc>
          <w:tcPr>
            <w:tcW w:w="1934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Impatto diretto sul benessere sociale ma con volumi economici spesso contenuti.</w:t>
            </w:r>
          </w:p>
        </w:tc>
        <w:tc>
          <w:tcPr>
            <w:tcW w:w="3191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Rispetto rigoroso criteri Art. 12 L. 241/90; </w:t>
            </w:r>
          </w:p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pubblicazione link atti concessione in AT (&gt;1000€).</w:t>
            </w:r>
          </w:p>
        </w:tc>
        <w:tc>
          <w:tcPr>
            <w:tcW w:w="1821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TUTTE LE AREE (che concedono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contrib.econ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)</w:t>
            </w:r>
          </w:p>
        </w:tc>
      </w:tr>
      <w:tr w:rsidR="00BE696B">
        <w:tc>
          <w:tcPr>
            <w:tcW w:w="456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213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AUTORIZZAZIONI E CONCESSIONI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(EDILIZIA, PATRIMONIO, SUAP)</w:t>
            </w:r>
          </w:p>
        </w:tc>
        <w:tc>
          <w:tcPr>
            <w:tcW w:w="2041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Edilizia privata, SUAP e gestione del patrimonio comunale</w:t>
            </w:r>
          </w:p>
        </w:tc>
        <w:tc>
          <w:tcPr>
            <w:tcW w:w="1858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Violazione limiti urbanistici; </w:t>
            </w:r>
          </w:p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eccessiva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discrezion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. tecnica; </w:t>
            </w:r>
          </w:p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omesso controllo abusi.</w:t>
            </w:r>
          </w:p>
        </w:tc>
        <w:tc>
          <w:tcPr>
            <w:tcW w:w="765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ALTO (A)</w:t>
            </w:r>
          </w:p>
        </w:tc>
        <w:tc>
          <w:tcPr>
            <w:tcW w:w="1934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Area ad alto interesse esterno per le trasformazioni del territorio e del patrimonio.</w:t>
            </w:r>
          </w:p>
        </w:tc>
        <w:tc>
          <w:tcPr>
            <w:tcW w:w="3191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Digitalizzazione flussi documentali; </w:t>
            </w:r>
          </w:p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controlli a campione su SCIA/CILA; </w:t>
            </w:r>
          </w:p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pubblicazione canoni locazione.</w:t>
            </w:r>
          </w:p>
        </w:tc>
        <w:tc>
          <w:tcPr>
            <w:tcW w:w="1821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Area Tecnica</w:t>
            </w:r>
          </w:p>
        </w:tc>
      </w:tr>
      <w:tr w:rsidR="00BE696B">
        <w:tc>
          <w:tcPr>
            <w:tcW w:w="456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213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GESTIONE DEL PERSONALE</w:t>
            </w:r>
          </w:p>
        </w:tc>
        <w:tc>
          <w:tcPr>
            <w:tcW w:w="2041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Reclutamento, progressioni e gestione del personale (servizio associato con l'Unione)</w:t>
            </w:r>
          </w:p>
        </w:tc>
        <w:tc>
          <w:tcPr>
            <w:tcW w:w="1858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Requisiti "su misura"; </w:t>
            </w:r>
          </w:p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commissioni non imparziali; irregolarità nelle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autorizz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x incarichi.</w:t>
            </w:r>
          </w:p>
        </w:tc>
        <w:tc>
          <w:tcPr>
            <w:tcW w:w="765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BASSO (B)</w:t>
            </w:r>
          </w:p>
        </w:tc>
        <w:tc>
          <w:tcPr>
            <w:tcW w:w="1934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personale gestito in forma associata da Unione; </w:t>
            </w:r>
          </w:p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il Comune opera x CCDI e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trattam.economici</w:t>
            </w:r>
            <w:proofErr w:type="spellEnd"/>
          </w:p>
        </w:tc>
        <w:tc>
          <w:tcPr>
            <w:tcW w:w="3191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Verifica dichiarazioni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inconferibilità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/incompatibilità;</w:t>
            </w:r>
          </w:p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controlli sul rispetto dei CCNL e CCDI.</w:t>
            </w:r>
          </w:p>
        </w:tc>
        <w:tc>
          <w:tcPr>
            <w:tcW w:w="1821" w:type="dxa"/>
            <w:vAlign w:val="center"/>
          </w:tcPr>
          <w:p w:rsidR="00BE696B" w:rsidRDefault="00764474" w:rsidP="00CB38D3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Area Finanziaria </w:t>
            </w:r>
          </w:p>
        </w:tc>
      </w:tr>
      <w:tr w:rsidR="00BE696B">
        <w:tc>
          <w:tcPr>
            <w:tcW w:w="456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>5</w:t>
            </w:r>
          </w:p>
        </w:tc>
        <w:tc>
          <w:tcPr>
            <w:tcW w:w="2213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VIGILANZA E SANZIONI (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P.L. e AMBIENTE)</w:t>
            </w:r>
          </w:p>
        </w:tc>
        <w:tc>
          <w:tcPr>
            <w:tcW w:w="2041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Polizia Locale: vigilanza territorio, sanzioni CDS</w:t>
            </w:r>
          </w:p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Ambiente: vigilanza ambiente e sanzioni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ammve</w:t>
            </w:r>
            <w:proofErr w:type="spellEnd"/>
          </w:p>
          <w:p w:rsidR="00BE696B" w:rsidRDefault="00BE696B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58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Omissione di controlli per favorire terzi; </w:t>
            </w:r>
          </w:p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gestione opaca dei verbali sanzionatori.</w:t>
            </w:r>
          </w:p>
        </w:tc>
        <w:tc>
          <w:tcPr>
            <w:tcW w:w="765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MEDIO (M)</w:t>
            </w:r>
          </w:p>
        </w:tc>
        <w:tc>
          <w:tcPr>
            <w:tcW w:w="1934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Presenza di un solo vigile; </w:t>
            </w:r>
          </w:p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discrezionalità limitata ma impatto immediato sul cittadino.</w:t>
            </w:r>
          </w:p>
        </w:tc>
        <w:tc>
          <w:tcPr>
            <w:tcW w:w="3191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Informatizzazione dei verbali; </w:t>
            </w:r>
          </w:p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tracciabilità cronologica accertamenti; </w:t>
            </w:r>
          </w:p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monitoraggio sanzioni ambientale.</w:t>
            </w:r>
          </w:p>
        </w:tc>
        <w:tc>
          <w:tcPr>
            <w:tcW w:w="1821" w:type="dxa"/>
            <w:vAlign w:val="center"/>
          </w:tcPr>
          <w:p w:rsidR="00CB38D3" w:rsidRDefault="00CB38D3" w:rsidP="00CB38D3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Area Amministrativa</w:t>
            </w:r>
          </w:p>
          <w:p w:rsidR="00BE696B" w:rsidRDefault="00BE696B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E696B">
        <w:tc>
          <w:tcPr>
            <w:tcW w:w="456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213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AFFARI GENERALI E DEMOGRAFICI</w:t>
            </w:r>
          </w:p>
        </w:tc>
        <w:tc>
          <w:tcPr>
            <w:tcW w:w="2041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Protocollo, Servizi Demografici, Elettorale e Accesso Civico</w:t>
            </w:r>
          </w:p>
        </w:tc>
        <w:tc>
          <w:tcPr>
            <w:tcW w:w="1858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Dilatazione tempi procedimentali; </w:t>
            </w:r>
          </w:p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diniego illegittimo accesso agli atti.</w:t>
            </w:r>
          </w:p>
        </w:tc>
        <w:tc>
          <w:tcPr>
            <w:tcW w:w="765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BASSO (B)</w:t>
            </w:r>
          </w:p>
        </w:tc>
        <w:tc>
          <w:tcPr>
            <w:tcW w:w="1934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Processi vincolati con margini di discrezionalità quasi nulli.</w:t>
            </w:r>
          </w:p>
        </w:tc>
        <w:tc>
          <w:tcPr>
            <w:tcW w:w="3191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Digitalizzazione protocollo; </w:t>
            </w:r>
          </w:p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registro istanze accesso civico (FOIA) aggiornato.</w:t>
            </w:r>
          </w:p>
        </w:tc>
        <w:tc>
          <w:tcPr>
            <w:tcW w:w="1821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Area Amministrativa</w:t>
            </w:r>
          </w:p>
        </w:tc>
      </w:tr>
      <w:tr w:rsidR="00BE696B">
        <w:tc>
          <w:tcPr>
            <w:tcW w:w="456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2213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GESTIONE ENTRATE</w:t>
            </w:r>
          </w:p>
        </w:tc>
        <w:tc>
          <w:tcPr>
            <w:tcW w:w="2041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Accertamento e riscossione tributi locali (IMU, TARI, Canoni)</w:t>
            </w:r>
          </w:p>
        </w:tc>
        <w:tc>
          <w:tcPr>
            <w:tcW w:w="1858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Omessa verifica evasione per interesse di parte; favoritismi nelle adesioni.</w:t>
            </w:r>
          </w:p>
        </w:tc>
        <w:tc>
          <w:tcPr>
            <w:tcW w:w="765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ALTO (A)</w:t>
            </w:r>
          </w:p>
        </w:tc>
        <w:tc>
          <w:tcPr>
            <w:tcW w:w="1934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Rischio di riduzione entrate per comportamenti scorretti nelle verifiche fiscali.</w:t>
            </w:r>
          </w:p>
        </w:tc>
        <w:tc>
          <w:tcPr>
            <w:tcW w:w="3191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Incrocio banche dati automatizzato; </w:t>
            </w:r>
          </w:p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trasparenza negli accertamenti con adesione.</w:t>
            </w:r>
          </w:p>
        </w:tc>
        <w:tc>
          <w:tcPr>
            <w:tcW w:w="1821" w:type="dxa"/>
            <w:vAlign w:val="center"/>
          </w:tcPr>
          <w:p w:rsidR="00BE696B" w:rsidRDefault="00764474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Area Amm.va e Finanziaria</w:t>
            </w:r>
          </w:p>
        </w:tc>
      </w:tr>
    </w:tbl>
    <w:p w:rsidR="00BE696B" w:rsidRDefault="00CB38D3">
      <w:pPr>
        <w:spacing w:after="120"/>
        <w:rPr>
          <w:rFonts w:ascii="Times New Roman" w:eastAsia="Times New Roman" w:hAnsi="Times New Roman" w:cs="Times New Roman"/>
          <w:sz w:val="22"/>
          <w:szCs w:val="22"/>
        </w:rPr>
      </w:pPr>
      <w:r>
        <w:pict>
          <v:rect id="_x0000_i1025" style="width:0;height:1.5pt" o:hralign="center" o:hrstd="t" o:hr="t" fillcolor="#a0a0a0" stroked="f"/>
        </w:pict>
      </w:r>
    </w:p>
    <w:p w:rsidR="00BE696B" w:rsidRDefault="00764474">
      <w:pPr>
        <w:spacing w:before="280" w:after="120"/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2"/>
          <w:szCs w:val="22"/>
          <w:u w:val="single"/>
        </w:rPr>
        <w:t>Note metodologiche:</w:t>
      </w:r>
    </w:p>
    <w:p w:rsidR="00BE696B" w:rsidRDefault="00764474">
      <w:pPr>
        <w:numPr>
          <w:ilvl w:val="0"/>
          <w:numId w:val="1"/>
        </w:numPr>
        <w:spacing w:after="12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Coerenza con Tabella B: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Le colonne "Livello di Rischio" e "Motivazione" riprendono fedelmente l'analisi qualitativa svolta nella Tabella B, dove il rischio per i contratti (area 1) è mitigato proprio dalla digitalizzazione.</w:t>
      </w:r>
    </w:p>
    <w:p w:rsidR="00BE696B" w:rsidRDefault="00764474">
      <w:pPr>
        <w:numPr>
          <w:ilvl w:val="0"/>
          <w:numId w:val="1"/>
        </w:numPr>
        <w:spacing w:after="12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Misure Generali (Valide per tutti i processi):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:rsidR="00BE696B" w:rsidRDefault="00764474">
      <w:pPr>
        <w:numPr>
          <w:ilvl w:val="1"/>
          <w:numId w:val="1"/>
        </w:numPr>
        <w:spacing w:after="12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Trasparenza: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Pubblicazione tempestiva in "Amministrazione Trasparente" (entro 15 giorni).</w:t>
      </w:r>
    </w:p>
    <w:p w:rsidR="00BE696B" w:rsidRDefault="00764474">
      <w:pPr>
        <w:numPr>
          <w:ilvl w:val="1"/>
          <w:numId w:val="1"/>
        </w:numPr>
        <w:spacing w:after="12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Conflitto di Interessi: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Obbligo di dichiarazione annuale per i responsabili che trattano processi che rientrano nelle 7 aree di rischio.</w:t>
      </w:r>
    </w:p>
    <w:p w:rsidR="00BE696B" w:rsidRDefault="00764474" w:rsidP="00CB38D3">
      <w:pPr>
        <w:numPr>
          <w:ilvl w:val="0"/>
          <w:numId w:val="1"/>
        </w:numPr>
        <w:spacing w:after="120"/>
        <w:jc w:val="both"/>
        <w:rPr>
          <w:rFonts w:ascii="Times New Roman" w:eastAsia="Times New Roman" w:hAnsi="Times New Roman" w:cs="Times New Roman"/>
          <w:sz w:val="22"/>
          <w:szCs w:val="22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Digitalizzazione Appalti: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Per l'Area 1, la misura prevalente è il passaggio su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PAD certificata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e l'interoperabilità con la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BDNCP</w:t>
      </w:r>
      <w:r>
        <w:rPr>
          <w:rFonts w:ascii="Times New Roman" w:eastAsia="Times New Roman" w:hAnsi="Times New Roman" w:cs="Times New Roman"/>
          <w:sz w:val="22"/>
          <w:szCs w:val="22"/>
        </w:rPr>
        <w:t>, che assolve automaticamente agli obblighi di pubblicità legale e trasparenza.</w:t>
      </w:r>
    </w:p>
    <w:bookmarkEnd w:id="0"/>
    <w:p w:rsidR="00BE696B" w:rsidRDefault="00764474">
      <w:pPr>
        <w:numPr>
          <w:ilvl w:val="0"/>
          <w:numId w:val="1"/>
        </w:numPr>
        <w:spacing w:after="12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Ruolo RTD/SIA: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Le misure digitali dell'Area 1 e dell'Area 6 richiedono il supporto tecnico </w:t>
      </w:r>
      <w:r w:rsidR="00CB38D3">
        <w:rPr>
          <w:rFonts w:ascii="Times New Roman" w:eastAsia="Times New Roman" w:hAnsi="Times New Roman" w:cs="Times New Roman"/>
          <w:sz w:val="22"/>
          <w:szCs w:val="22"/>
        </w:rPr>
        <w:t>di società esterna</w:t>
      </w:r>
      <w:r>
        <w:rPr>
          <w:rFonts w:ascii="Times New Roman" w:eastAsia="Times New Roman" w:hAnsi="Times New Roman" w:cs="Times New Roman"/>
          <w:sz w:val="22"/>
          <w:szCs w:val="22"/>
        </w:rPr>
        <w:t>.</w:t>
      </w:r>
    </w:p>
    <w:sectPr w:rsidR="00BE696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1134" w:right="1134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0D5" w:rsidRDefault="00764474">
      <w:r>
        <w:separator/>
      </w:r>
    </w:p>
  </w:endnote>
  <w:endnote w:type="continuationSeparator" w:id="0">
    <w:p w:rsidR="005220D5" w:rsidRDefault="00764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812C6F-E031-4EC7-8BD6-198A38DC47FE}"/>
    <w:embedBold r:id="rId2" w:fontKey="{7526478E-EFEF-4FB6-BCA2-1796E1EFB098}"/>
    <w:embedItalic r:id="rId3" w:fontKey="{97CEA2E5-A3C5-4A99-B609-5FDBBFF20DED}"/>
    <w:embedBoldItalic r:id="rId4" w:fontKey="{735BD181-42D9-45BF-9E63-15B68696A6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D071C51-5CBF-4DE7-A830-87CCB683D40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8468E24-7A29-4015-AB8F-170664EC85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474" w:rsidRDefault="00764474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474" w:rsidRDefault="00764474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474" w:rsidRDefault="0076447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0D5" w:rsidRDefault="00764474">
      <w:r>
        <w:separator/>
      </w:r>
    </w:p>
  </w:footnote>
  <w:footnote w:type="continuationSeparator" w:id="0">
    <w:p w:rsidR="005220D5" w:rsidRDefault="007644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474" w:rsidRDefault="00764474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96B" w:rsidRDefault="00764474">
    <w:pPr>
      <w:jc w:val="center"/>
      <w:rPr>
        <w:sz w:val="20"/>
        <w:szCs w:val="20"/>
      </w:rPr>
    </w:pPr>
    <w:r>
      <w:rPr>
        <w:sz w:val="20"/>
        <w:szCs w:val="20"/>
      </w:rPr>
      <w:t>COMUNE MONTE GIBERTO (FM)</w:t>
    </w:r>
  </w:p>
  <w:p w:rsidR="00BE696B" w:rsidRDefault="00764474">
    <w:pPr>
      <w:jc w:val="center"/>
      <w:rPr>
        <w:b/>
        <w:bCs/>
        <w:i/>
        <w:iCs/>
        <w:sz w:val="22"/>
        <w:szCs w:val="22"/>
        <w:u w:val="single"/>
      </w:rPr>
    </w:pPr>
    <w:r>
      <w:rPr>
        <w:i/>
        <w:iCs/>
        <w:sz w:val="20"/>
        <w:szCs w:val="20"/>
        <w:u w:val="single"/>
      </w:rPr>
      <w:t xml:space="preserve">PIAO 2026-2028   - SEZ. 2.3 - PIANO RISCHI CORRUTTIVI E TRASPARENZA </w:t>
    </w:r>
    <w:r>
      <w:rPr>
        <w:b/>
        <w:bCs/>
        <w:i/>
        <w:iCs/>
        <w:sz w:val="20"/>
        <w:szCs w:val="20"/>
      </w:rPr>
      <w:t xml:space="preserve">- </w:t>
    </w:r>
    <w:r>
      <w:rPr>
        <w:b/>
        <w:bCs/>
        <w:i/>
        <w:iCs/>
        <w:sz w:val="22"/>
        <w:szCs w:val="22"/>
        <w:u w:val="single"/>
      </w:rPr>
      <w:t>TAB.A (mappa processi)</w:t>
    </w:r>
  </w:p>
  <w:p w:rsidR="00BE696B" w:rsidRDefault="00BE696B">
    <w:pPr>
      <w:jc w:val="center"/>
      <w:rPr>
        <w:b/>
        <w:bCs/>
        <w:i/>
        <w:iCs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474" w:rsidRDefault="0076447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B0704"/>
    <w:multiLevelType w:val="multilevel"/>
    <w:tmpl w:val="BBFC6B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E696B"/>
    <w:rsid w:val="005220D5"/>
    <w:rsid w:val="00764474"/>
    <w:rsid w:val="00BE696B"/>
    <w:rsid w:val="00CB3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olo3Carattere">
    <w:name w:val="Titolo 3 Carattere"/>
    <w:basedOn w:val="Carpredefinitoparagrafo"/>
    <w:uiPriority w:val="9"/>
    <w:rsid w:val="00E952FC"/>
    <w:rPr>
      <w:rFonts w:ascii="Times New Roman" w:eastAsia="Times New Roman" w:hAnsi="Times New Roman" w:cs="Times New Roman"/>
      <w:b/>
      <w:bCs/>
      <w:kern w:val="0"/>
      <w:sz w:val="27"/>
      <w:szCs w:val="27"/>
      <w:lang w:eastAsia="it-IT"/>
    </w:rPr>
  </w:style>
  <w:style w:type="paragraph" w:styleId="NormaleWeb">
    <w:name w:val="Normal (Web)"/>
    <w:uiPriority w:val="99"/>
    <w:semiHidden/>
    <w:unhideWhenUsed/>
    <w:rsid w:val="00E952F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E952FC"/>
    <w:rPr>
      <w:b/>
      <w:bCs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76447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64474"/>
  </w:style>
  <w:style w:type="paragraph" w:styleId="Pidipagina">
    <w:name w:val="footer"/>
    <w:basedOn w:val="Normale"/>
    <w:link w:val="PidipaginaCarattere"/>
    <w:uiPriority w:val="99"/>
    <w:unhideWhenUsed/>
    <w:rsid w:val="0076447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644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olo3Carattere">
    <w:name w:val="Titolo 3 Carattere"/>
    <w:basedOn w:val="Carpredefinitoparagrafo"/>
    <w:uiPriority w:val="9"/>
    <w:rsid w:val="00E952FC"/>
    <w:rPr>
      <w:rFonts w:ascii="Times New Roman" w:eastAsia="Times New Roman" w:hAnsi="Times New Roman" w:cs="Times New Roman"/>
      <w:b/>
      <w:bCs/>
      <w:kern w:val="0"/>
      <w:sz w:val="27"/>
      <w:szCs w:val="27"/>
      <w:lang w:eastAsia="it-IT"/>
    </w:rPr>
  </w:style>
  <w:style w:type="paragraph" w:styleId="NormaleWeb">
    <w:name w:val="Normal (Web)"/>
    <w:uiPriority w:val="99"/>
    <w:semiHidden/>
    <w:unhideWhenUsed/>
    <w:rsid w:val="00E952F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E952FC"/>
    <w:rPr>
      <w:b/>
      <w:bCs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76447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64474"/>
  </w:style>
  <w:style w:type="paragraph" w:styleId="Pidipagina">
    <w:name w:val="footer"/>
    <w:basedOn w:val="Normale"/>
    <w:link w:val="PidipaginaCarattere"/>
    <w:uiPriority w:val="99"/>
    <w:unhideWhenUsed/>
    <w:rsid w:val="0076447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64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9eC1hBc1nzwYqby0hnhXwSR8OQ==">CgMxLjA4AHIhMUo4TU4zZlRUTkowallGby03QzFlZ3prbWVjZ1FOZ0hX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599</Words>
  <Characters>3419</Characters>
  <Application>Microsoft Office Word</Application>
  <DocSecurity>0</DocSecurity>
  <Lines>28</Lines>
  <Paragraphs>8</Paragraphs>
  <ScaleCrop>false</ScaleCrop>
  <Company/>
  <LinksUpToDate>false</LinksUpToDate>
  <CharactersWithSpaces>4010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utente</cp:lastModifiedBy>
  <cp:revision>3</cp:revision>
  <dcterms:created xsi:type="dcterms:W3CDTF">2026-02-05T11:36:00Z</dcterms:created>
  <dcterms:modified xsi:type="dcterms:W3CDTF">2026-03-04T10:12:00Z</dcterms:modified>
</cp:coreProperties>
</file>